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大语言模型驱动的中文公文格式自动化研究</w:t>
      </w:r>
    </w:p>
    <w:p>
      <w:pPr/>
      <w:r>
        <w:rPr>
          <w:b w:val="0"/>
          <w:i w:val="0"/>
        </w:rPr>
        <w:t>赵六</w:t>
      </w:r>
    </w:p>
    <w:p>
      <w:pPr/>
      <w:r>
        <w:rPr>
          <w:b w:val="0"/>
          <w:i w:val="0"/>
        </w:rPr>
        <w:t>(XX 大学计算机科学与技术学院,北京 100084)</w:t>
      </w:r>
    </w:p>
    <w:p>
      <w:pPr/>
      <w:r>
        <w:rPr>
          <w:b w:val="0"/>
          <w:i w:val="0"/>
        </w:rPr>
      </w:r>
      <w:r>
        <w:rPr>
          <w:b/>
          <w:i w:val="0"/>
        </w:rPr>
        <w:t>摘要</w:t>
      </w:r>
      <w:r>
        <w:rPr>
          <w:b w:val="0"/>
          <w:i w:val="0"/>
        </w:rPr>
        <w:t>:随着大语言模型在文本生成任务上的广泛应用,模型输出的 Markdown 格式与下游办公场景所需的 Word 格式之间存在显著的转换鸿沟。本文针对中文公文这一特定场景,提出一套基于模板驱动的格式适配方法,在保留模型生成内容语义结构的同时,使输出文档自动符合 GB/T 9704-2012 党政机关公文格式要求。实验表明,该方法在 200 份样本上的格式合规率达到 96.5%,显著优于现有通用转换工具。</w:t>
      </w:r>
    </w:p>
    <w:p>
      <w:pPr/>
      <w:r>
        <w:rPr>
          <w:b w:val="0"/>
          <w:i w:val="0"/>
        </w:rPr>
      </w:r>
      <w:r>
        <w:rPr>
          <w:b/>
          <w:i w:val="0"/>
        </w:rPr>
        <w:t>关键词</w:t>
      </w:r>
      <w:r>
        <w:rPr>
          <w:b w:val="0"/>
          <w:i w:val="0"/>
        </w:rPr>
        <w:t>:大语言模型;文档自动化;公文格式;中文 NLP</w:t>
      </w:r>
    </w:p>
    <w:p>
      <w:pPr>
        <w:pStyle w:val="Heading2"/>
      </w:pPr>
      <w:r>
        <w:rPr>
          <w:b w:val="0"/>
          <w:i w:val="0"/>
        </w:rPr>
        <w:t>1. 引言</w:t>
      </w:r>
    </w:p>
    <w:p>
      <w:pPr/>
      <w:r>
        <w:rPr>
          <w:b w:val="0"/>
          <w:i w:val="0"/>
        </w:rPr>
        <w:t>近年来,以 GPT、Claude、文心等为代表的大语言模型,在文本生成任务上展现出强大的能力,被广泛应用于公文起草、报告撰写等办公场景。然而,模型默认输出的 Markdown 格式,与机关单位实际交付时所需的 Word 格式之间,存在显著的"最后一公里"鸿沟。</w:t>
      </w:r>
    </w:p>
    <w:p>
      <w:pPr/>
      <w:r>
        <w:rPr>
          <w:b w:val="0"/>
          <w:i w:val="0"/>
        </w:rPr>
        <w:t>具体来说,中文公文交付须严格遵循 GB/T 9704-2012《党政机关公文格式》,对字号、字体、行距、版心、页边距等都有明确规定。手工套用模板效率低、易出错。已有工具如 Pandoc 提供通用格式转换能力,但对中文公文特定场景的支持薄弱。</w:t>
      </w:r>
    </w:p>
    <w:p>
      <w:pPr>
        <w:pStyle w:val="Heading2"/>
      </w:pPr>
      <w:r>
        <w:rPr>
          <w:b w:val="0"/>
          <w:i w:val="0"/>
        </w:rPr>
        <w:t>2. 相关工作</w:t>
      </w:r>
    </w:p>
    <w:p>
      <w:pPr>
        <w:pStyle w:val="Heading3"/>
      </w:pPr>
      <w:r>
        <w:rPr>
          <w:b w:val="0"/>
          <w:i w:val="0"/>
        </w:rPr>
        <w:t>2.1 通用文档转换工具</w:t>
      </w:r>
    </w:p>
    <w:p>
      <w:pPr/>
      <w:r>
        <w:rPr>
          <w:b w:val="0"/>
          <w:i w:val="0"/>
        </w:rPr>
        <w:t>Pandoc 是文档转换领域的事实标准,支持多种输入输出格式。然而其对中文公文格式的支持依赖于复杂的 reference.docx 配置,普通用户难以正确配置。</w:t>
      </w:r>
    </w:p>
    <w:p>
      <w:pPr>
        <w:pStyle w:val="Heading3"/>
      </w:pPr>
      <w:r>
        <w:rPr>
          <w:b w:val="0"/>
          <w:i w:val="0"/>
        </w:rPr>
        <w:t>2.2 大模型在办公场景的应用</w:t>
      </w:r>
    </w:p>
    <w:p>
      <w:pPr/>
      <w:r>
        <w:rPr>
          <w:b w:val="0"/>
          <w:i w:val="0"/>
        </w:rPr>
        <w:t>已有研究探讨了大语言模型在公文起草中的辅助作用,但多关注内容生成质量,对生成结果的格式适配关注较少。</w:t>
      </w:r>
    </w:p>
    <w:p>
      <w:pPr>
        <w:pStyle w:val="Heading2"/>
      </w:pPr>
      <w:r>
        <w:rPr>
          <w:b w:val="0"/>
          <w:i w:val="0"/>
        </w:rPr>
        <w:t>3. 方法</w:t>
      </w:r>
    </w:p>
    <w:p>
      <w:pPr>
        <w:pStyle w:val="Heading3"/>
      </w:pPr>
      <w:r>
        <w:rPr>
          <w:b w:val="0"/>
          <w:i w:val="0"/>
        </w:rPr>
        <w:t>3.1 整体框架</w:t>
      </w:r>
    </w:p>
    <w:p>
      <w:pPr/>
      <w:r>
        <w:rPr>
          <w:b w:val="0"/>
          <w:i w:val="0"/>
        </w:rPr>
        <w:t>本文方法包含三个核心环节: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结构化解析</w:t>
      </w:r>
      <w:r>
        <w:rPr>
          <w:b w:val="0"/>
          <w:i w:val="0"/>
          <w:rFonts w:ascii="Times New Roman" w:hAnsi="Times New Roman" w:eastAsia="宋体" w:cs="Times New Roman"/>
          <w:sz w:val="22"/>
        </w:rPr>
        <w:t>:将大语言模型输出的 Markdown 文本解析为抽象语法树(AST)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模板匹配</w:t>
      </w:r>
      <w:r>
        <w:rPr>
          <w:b w:val="0"/>
          <w:i w:val="0"/>
          <w:rFonts w:ascii="Times New Roman" w:hAnsi="Times New Roman" w:eastAsia="宋体" w:cs="Times New Roman"/>
          <w:sz w:val="22"/>
        </w:rPr>
        <w:t>:基于预定义的样式映射规则,将 AST 节点与 Word 模板中的样式绑定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格式渲染</w:t>
      </w:r>
      <w:r>
        <w:rPr>
          <w:b w:val="0"/>
          <w:i w:val="0"/>
          <w:rFonts w:ascii="Times New Roman" w:hAnsi="Times New Roman" w:eastAsia="宋体" w:cs="Times New Roman"/>
          <w:sz w:val="22"/>
        </w:rPr>
        <w:t>:按照绑定关系生成 docx 文档</w:t>
      </w:r>
    </w:p>
    <w:p>
      <w:pPr>
        <w:pStyle w:val="Heading3"/>
      </w:pPr>
      <w:r>
        <w:rPr>
          <w:b w:val="0"/>
          <w:i w:val="0"/>
        </w:rPr>
        <w:t>3.2 关键技术点</w:t>
      </w:r>
    </w:p>
    <w:p>
      <w:pPr>
        <w:pStyle w:val="Heading4"/>
      </w:pPr>
      <w:r>
        <w:rPr>
          <w:b w:val="0"/>
          <w:i w:val="0"/>
        </w:rPr>
        <w:t>3.2.1 中英文字体槽位</w:t>
      </w:r>
    </w:p>
    <w:p>
      <w:pPr/>
      <w:r>
        <w:rPr>
          <w:b w:val="0"/>
          <w:i w:val="0"/>
        </w:rPr>
        <w:t xml:space="preserve">中文文本的渲染涉及 OOXML 规范中的 </w:t>
      </w:r>
      <w:r>
        <w:rPr>
          <w:b w:val="0"/>
          <w:i w:val="0"/>
          <w:rFonts w:ascii="Consolas" w:hAnsi="Consolas" w:eastAsia="宋体" w:cs="Consolas"/>
          <w:sz w:val="20"/>
        </w:rPr>
        <w:t>w:eastAsia</w:t>
      </w:r>
      <w:r>
        <w:rPr>
          <w:b w:val="0"/>
          <w:i w:val="0"/>
        </w:rPr>
        <w:t xml:space="preserve"> 字体槽位。多数现有工具仅设置 </w:t>
      </w:r>
      <w:r>
        <w:rPr>
          <w:b w:val="0"/>
          <w:i w:val="0"/>
          <w:rFonts w:ascii="Consolas" w:hAnsi="Consolas" w:eastAsia="宋体" w:cs="Consolas"/>
          <w:sz w:val="20"/>
        </w:rPr>
        <w:t>w:ascii</w:t>
      </w:r>
      <w:r>
        <w:rPr>
          <w:b w:val="0"/>
          <w:i w:val="0"/>
        </w:rPr>
        <w:t xml:space="preserve"> 槽位,导致中文字符回退到系统默认字体。本文显式设置全部四个字体槽位(</w:t>
      </w:r>
      <w:r>
        <w:rPr>
          <w:b w:val="0"/>
          <w:i w:val="0"/>
          <w:rFonts w:ascii="Consolas" w:hAnsi="Consolas" w:eastAsia="宋体" w:cs="Consolas"/>
          <w:sz w:val="20"/>
        </w:rPr>
        <w:t>ascii / hAnsi / eastAsia / cs</w:t>
      </w:r>
      <w:r>
        <w:rPr>
          <w:b w:val="0"/>
          <w:i w:val="0"/>
        </w:rPr>
        <w:t>),确保中文字符按指定字体渲染。</w:t>
      </w:r>
    </w:p>
    <w:p>
      <w:pPr>
        <w:pStyle w:val="Heading4"/>
      </w:pPr>
      <w:r>
        <w:rPr>
          <w:b w:val="0"/>
          <w:i w:val="0"/>
        </w:rPr>
        <w:t>3.2.2 公文版心适配</w:t>
      </w:r>
    </w:p>
    <w:p>
      <w:pPr/>
      <w:r>
        <w:rPr>
          <w:b w:val="0"/>
          <w:i w:val="0"/>
        </w:rPr>
        <w:t>按 GB/T 9704 要求,公文版心为 156 mm × 225 mm。在 A4 纸(210 mm × 297 mm)上对应的页边距为:上 37 mm、下 35 mm、左 28 mm、右 26 mm。</w:t>
      </w:r>
    </w:p>
    <w:p>
      <w:pPr>
        <w:pStyle w:val="Heading2"/>
      </w:pPr>
      <w:r>
        <w:rPr>
          <w:b w:val="0"/>
          <w:i w:val="0"/>
        </w:rPr>
        <w:t>4. 实验</w:t>
      </w:r>
    </w:p>
    <w:p>
      <w:pPr>
        <w:pStyle w:val="Heading3"/>
      </w:pPr>
      <w:r>
        <w:rPr>
          <w:b w:val="0"/>
          <w:i w:val="0"/>
        </w:rPr>
        <w:t>4.1 数据集</w:t>
      </w:r>
    </w:p>
    <w:p>
      <w:pPr/>
      <w:r>
        <w:rPr>
          <w:b w:val="0"/>
          <w:i w:val="0"/>
        </w:rPr>
        <w:t>收集 200 份真实公文样本,涵盖通知、报告、请示三类典型公文。</w:t>
      </w:r>
    </w:p>
    <w:p>
      <w:pPr>
        <w:pStyle w:val="Heading3"/>
      </w:pPr>
      <w:r>
        <w:rPr>
          <w:b w:val="0"/>
          <w:i w:val="0"/>
        </w:rPr>
        <w:t>4.2 评估指标</w:t>
      </w:r>
    </w:p>
    <w:p>
      <w:pPr/>
      <w:r>
        <w:rPr>
          <w:b w:val="0"/>
          <w:i w:val="0"/>
        </w:rPr>
        <w:t>定义以下三项指标: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结构合规率</w:t>
      </w:r>
      <w:r>
        <w:rPr>
          <w:b w:val="0"/>
          <w:i w:val="0"/>
          <w:rFonts w:ascii="Times New Roman" w:hAnsi="Times New Roman" w:eastAsia="宋体" w:cs="Times New Roman"/>
          <w:sz w:val="22"/>
        </w:rPr>
        <w:t>:文档结构(标题、段落、列表)的样式应用正确率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字体合规率</w:t>
      </w:r>
      <w:r>
        <w:rPr>
          <w:b w:val="0"/>
          <w:i w:val="0"/>
          <w:rFonts w:ascii="Times New Roman" w:hAnsi="Times New Roman" w:eastAsia="宋体" w:cs="Times New Roman"/>
          <w:sz w:val="22"/>
        </w:rPr>
        <w:t>:字号、字体、行距是否符合 GB/T 9704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整体合规率</w:t>
      </w:r>
      <w:r>
        <w:rPr>
          <w:b w:val="0"/>
          <w:i w:val="0"/>
          <w:rFonts w:ascii="Times New Roman" w:hAnsi="Times New Roman" w:eastAsia="宋体" w:cs="Times New Roman"/>
          <w:sz w:val="22"/>
        </w:rPr>
        <w:t>:综合二者的加权指标</w:t>
      </w:r>
    </w:p>
    <w:p>
      <w:pPr>
        <w:pStyle w:val="Heading3"/>
      </w:pPr>
      <w:r>
        <w:rPr>
          <w:b w:val="0"/>
          <w:i w:val="0"/>
        </w:rPr>
        <w:t>4.3 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/>
            <w:r>
              <w:rPr>
                <w:b/>
                <w:i w:val="0"/>
              </w:rPr>
              <w:t>方法</w:t>
            </w:r>
          </w:p>
        </w:tc>
        <w:tc>
          <w:tcPr>
            <w:tcW w:type="dxa" w:w="2197"/>
          </w:tcPr>
          <w:p>
            <w:r/>
            <w:r>
              <w:rPr>
                <w:b/>
                <w:i w:val="0"/>
              </w:rPr>
              <w:t>结构合规率</w:t>
            </w:r>
          </w:p>
        </w:tc>
        <w:tc>
          <w:tcPr>
            <w:tcW w:type="dxa" w:w="2197"/>
          </w:tcPr>
          <w:p>
            <w:r/>
            <w:r>
              <w:rPr>
                <w:b/>
                <w:i w:val="0"/>
              </w:rPr>
              <w:t>字体合规率</w:t>
            </w:r>
          </w:p>
        </w:tc>
        <w:tc>
          <w:tcPr>
            <w:tcW w:type="dxa" w:w="2197"/>
          </w:tcPr>
          <w:p>
            <w:r/>
            <w:r>
              <w:rPr>
                <w:b/>
                <w:i w:val="0"/>
              </w:rPr>
              <w:t>整体合规率</w:t>
            </w:r>
          </w:p>
        </w:tc>
      </w:tr>
      <w:tr>
        <w:tc>
          <w:tcPr>
            <w:tcW w:type="dxa" w:w="2197"/>
          </w:tcPr>
          <w:p>
            <w:r/>
            <w:r>
              <w:rPr>
                <w:b w:val="0"/>
                <w:i w:val="0"/>
              </w:rPr>
              <w:t>Pandoc 默认</w:t>
            </w:r>
          </w:p>
        </w:tc>
        <w:tc>
          <w:tcPr>
            <w:tcW w:type="dxa" w:w="2197"/>
          </w:tcPr>
          <w:p>
            <w:r/>
            <w:r>
              <w:rPr>
                <w:b w:val="0"/>
                <w:i w:val="0"/>
              </w:rPr>
              <w:t>78.0%</w:t>
            </w:r>
          </w:p>
        </w:tc>
        <w:tc>
          <w:tcPr>
            <w:tcW w:type="dxa" w:w="2197"/>
          </w:tcPr>
          <w:p>
            <w:r/>
            <w:r>
              <w:rPr>
                <w:b w:val="0"/>
                <w:i w:val="0"/>
              </w:rPr>
              <w:t>12.5%</w:t>
            </w:r>
          </w:p>
        </w:tc>
        <w:tc>
          <w:tcPr>
            <w:tcW w:type="dxa" w:w="2197"/>
          </w:tcPr>
          <w:p>
            <w:r/>
            <w:r>
              <w:rPr>
                <w:b w:val="0"/>
                <w:i w:val="0"/>
              </w:rPr>
              <w:t>45.3%</w:t>
            </w:r>
          </w:p>
        </w:tc>
      </w:tr>
      <w:tr>
        <w:tc>
          <w:tcPr>
            <w:tcW w:type="dxa" w:w="2197"/>
          </w:tcPr>
          <w:p>
            <w:r/>
            <w:r>
              <w:rPr>
                <w:b w:val="0"/>
                <w:i w:val="0"/>
              </w:rPr>
              <w:t>Pandoc + reference.docx</w:t>
            </w:r>
          </w:p>
        </w:tc>
        <w:tc>
          <w:tcPr>
            <w:tcW w:type="dxa" w:w="2197"/>
          </w:tcPr>
          <w:p>
            <w:r/>
            <w:r>
              <w:rPr>
                <w:b w:val="0"/>
                <w:i w:val="0"/>
              </w:rPr>
              <w:t>91.0%</w:t>
            </w:r>
          </w:p>
        </w:tc>
        <w:tc>
          <w:tcPr>
            <w:tcW w:type="dxa" w:w="2197"/>
          </w:tcPr>
          <w:p>
            <w:r/>
            <w:r>
              <w:rPr>
                <w:b w:val="0"/>
                <w:i w:val="0"/>
              </w:rPr>
              <w:t>78.5%</w:t>
            </w:r>
          </w:p>
        </w:tc>
        <w:tc>
          <w:tcPr>
            <w:tcW w:type="dxa" w:w="2197"/>
          </w:tcPr>
          <w:p>
            <w:r/>
            <w:r>
              <w:rPr>
                <w:b w:val="0"/>
                <w:i w:val="0"/>
              </w:rPr>
              <w:t>84.8%</w:t>
            </w:r>
          </w:p>
        </w:tc>
      </w:tr>
      <w:tr>
        <w:tc>
          <w:tcPr>
            <w:tcW w:type="dxa" w:w="2197"/>
          </w:tcPr>
          <w:p>
            <w:r/>
            <w:r>
              <w:rPr>
                <w:b w:val="0"/>
                <w:i w:val="0"/>
              </w:rPr>
              <w:t>本文方法</w:t>
            </w:r>
          </w:p>
        </w:tc>
        <w:tc>
          <w:tcPr>
            <w:tcW w:type="dxa" w:w="2197"/>
          </w:tcPr>
          <w:p>
            <w:r/>
            <w:r>
              <w:rPr>
                <w:b w:val="0"/>
                <w:i w:val="0"/>
              </w:rPr>
              <w:t>98.5%</w:t>
            </w:r>
          </w:p>
        </w:tc>
        <w:tc>
          <w:tcPr>
            <w:tcW w:type="dxa" w:w="2197"/>
          </w:tcPr>
          <w:p>
            <w:r/>
            <w:r>
              <w:rPr>
                <w:b w:val="0"/>
                <w:i w:val="0"/>
              </w:rPr>
              <w:t>94.5%</w:t>
            </w:r>
          </w:p>
        </w:tc>
        <w:tc>
          <w:tcPr>
            <w:tcW w:type="dxa" w:w="2197"/>
          </w:tcPr>
          <w:p>
            <w:r/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96.5%</w:t>
            </w:r>
            <w:r>
              <w:rPr>
                <w:b w:val="0"/>
                <w:i w:val="0"/>
              </w:rPr>
            </w:r>
          </w:p>
        </w:tc>
      </w:tr>
    </w:tbl>
    <w:p>
      <w:pPr>
        <w:pStyle w:val="Heading2"/>
      </w:pPr>
      <w:r>
        <w:rPr>
          <w:b w:val="0"/>
          <w:i w:val="0"/>
        </w:rPr>
        <w:t>5. 讨论</w:t>
      </w:r>
    </w:p>
    <w:p>
      <w:pPr/>
      <w:r>
        <w:rPr>
          <w:b w:val="0"/>
          <w:i w:val="0"/>
        </w:rPr>
        <w:t xml:space="preserve">本文方法在结构合规率和字体合规率上均显著优于现有工具。值得指出的是,字体合规率的提升主要源于显式的 </w:t>
      </w:r>
      <w:r>
        <w:rPr>
          <w:b w:val="0"/>
          <w:i w:val="0"/>
          <w:rFonts w:ascii="Consolas" w:hAnsi="Consolas" w:eastAsia="宋体" w:cs="Consolas"/>
          <w:sz w:val="20"/>
        </w:rPr>
        <w:t>w:eastAsia</w:t>
      </w:r>
      <w:r>
        <w:rPr>
          <w:b w:val="0"/>
          <w:i w:val="0"/>
        </w:rPr>
        <w:t xml:space="preserve"> 槽位设置——这是一个长期被忽视但影响巨大的技术点。</w:t>
      </w:r>
    </w:p>
    <w:p>
      <w:pPr>
        <w:pStyle w:val="Heading2"/>
      </w:pPr>
      <w:r>
        <w:rPr>
          <w:b w:val="0"/>
          <w:i w:val="0"/>
        </w:rPr>
        <w:t>6. 结论</w:t>
      </w:r>
    </w:p>
    <w:p>
      <w:pPr/>
      <w:r>
        <w:rPr>
          <w:b w:val="0"/>
          <w:i w:val="0"/>
        </w:rPr>
        <w:t>本文针对大语言模型输出的 Markdown 到中文公文 Word 文档的格式适配问题,提出一套基于模板驱动的方法。实验验证表明,该方法在合规率上具备明显优势。未来工作将进一步覆盖学位论文、技术方案书等更多文档类型。</w:t>
      </w:r>
    </w:p>
    <w:p>
      <w:pPr>
        <w:pStyle w:val="Heading2"/>
      </w:pPr>
      <w:r>
        <w:rPr>
          <w:b w:val="0"/>
          <w:i w:val="0"/>
        </w:rPr>
        <w:t>参考文献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  <w:t>国家质量监督检验检疫总局. 党政机关公文格式: GB/T 9704-2012[S]. 北京: 中国标准出版社, 2012.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  <w:t>MacFarlane J. Pandoc: a universal document converter[CP/OL]. https://pandoc.org/.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  <w:t>ECMA International. Office Open XML File Formats: ECMA-376[S]. 2016.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SpaceDE w:val="1"/>
  <w:autoSpaceD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0"/>
      <w:jc w:val="both"/>
    </w:pPr>
    <w:rPr>
      <w:rFonts w:ascii="Times New Roman" w:hAnsi="Times New Roman" w:eastAsia="宋体" w:cs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  <w:jc w:val="left"/>
      <w:ind w:firstLineChars="0" w:firstLine="0"/>
    </w:pPr>
    <w:rPr>
      <w:rFonts w:ascii="Times New Roman" w:hAnsi="Times New Roman" w:eastAsia="黑体" w:cs="Times New Roman"/>
      <w:b/>
      <w:bCs/>
      <w:i w:val="0"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60" w:lineRule="auto"/>
      <w:outlineLvl w:val="1"/>
      <w:jc w:val="left"/>
      <w:ind w:firstLineChars="0" w:firstLine="0"/>
    </w:pPr>
    <w:rPr>
      <w:rFonts w:ascii="Times New Roman" w:hAnsi="Times New Roman" w:eastAsia="黑体" w:cs="Times New Roman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  <w:jc w:val="left"/>
      <w:ind w:firstLineChars="0" w:firstLine="0"/>
    </w:pPr>
    <w:rPr>
      <w:rFonts w:ascii="Times New Roman" w:hAnsi="Times New Roman" w:eastAsia="黑体" w:cs="Times New Roman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360" w:lineRule="auto"/>
      <w:outlineLvl w:val="3"/>
      <w:jc w:val="left"/>
      <w:ind w:firstLineChars="0" w:firstLine="0"/>
    </w:pPr>
    <w:rPr>
      <w:rFonts w:ascii="Times New Roman" w:hAnsi="Times New Roman" w:eastAsia="宋体" w:cs="Times New Roman"/>
      <w:b/>
      <w:bCs/>
      <w:i w:val="0"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80" w:line="360" w:lineRule="auto"/>
      <w:outlineLvl w:val="4"/>
      <w:jc w:val="left"/>
      <w:ind w:firstLineChars="0" w:firstLine="0"/>
    </w:pPr>
    <w:rPr>
      <w:rFonts w:ascii="Times New Roman" w:hAnsi="Times New Roman" w:eastAsia="宋体" w:cs="Times New Roman"/>
      <w:b/>
      <w:i w:val="0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80" w:line="360" w:lineRule="auto"/>
      <w:outlineLvl w:val="5"/>
      <w:jc w:val="left"/>
      <w:ind w:firstLineChars="0" w:firstLine="0"/>
    </w:pPr>
    <w:rPr>
      <w:rFonts w:ascii="Times New Roman" w:hAnsi="Times New Roman" w:eastAsia="宋体" w:cs="Times New Roman"/>
      <w:b/>
      <w:i w:val="0"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360" w:lineRule="auto" w:before="0"/>
      <w:contextualSpacing/>
      <w:jc w:val="center"/>
      <w:ind w:firstLineChars="0" w:firstLine="0"/>
    </w:pPr>
    <w:rPr>
      <w:rFonts w:ascii="Times New Roman" w:hAnsi="Times New Roman" w:eastAsia="宋体" w:cs="Times New Roman"/>
      <w:b/>
      <w:i w:val="0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 w:before="0" w:after="360"/>
      <w:jc w:val="center"/>
      <w:ind w:firstLineChars="0" w:firstLine="0"/>
    </w:pPr>
    <w:rPr>
      <w:rFonts w:ascii="Times New Roman" w:hAnsi="Times New Roman" w:eastAsia="宋体" w:cs="Times New Roman"/>
      <w:b w:val="0"/>
      <w:i w:val="0"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line="360" w:lineRule="auto"/>
      <w:ind w:firstLineChars="0" w:firstLine="0"/>
    </w:pPr>
    <w:rPr>
      <w:rFonts w:ascii="Times New Roman" w:hAnsi="Times New Roman" w:eastAsia="宋体" w:cs="Times New Roman"/>
      <w:b w:val="0"/>
      <w:i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line="360" w:lineRule="auto"/>
      <w:ind w:firstLineChars="0" w:firstLine="0"/>
    </w:pPr>
    <w:rPr>
      <w:rFonts w:ascii="Times New Roman" w:hAnsi="Times New Roman" w:eastAsia="宋体" w:cs="Times New Roman"/>
      <w:b w:val="0"/>
      <w:i w:val="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60" w:lineRule="auto" w:before="120" w:after="120"/>
      <w:ind w:firstLineChars="0" w:firstLine="0" w:leftChars="200"/>
    </w:pPr>
    <w:rPr>
      <w:rFonts w:ascii="Times New Roman" w:hAnsi="Times New Roman" w:eastAsia="楷体" w:cs="Times New Roman"/>
      <w:b w:val="0"/>
      <w:i w:val="0"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40" w:after="240"/>
      <w:jc w:val="center"/>
      <w:ind w:firstLineChars="0" w:firstLine="0"/>
    </w:pPr>
    <w:rPr>
      <w:rFonts w:ascii="Times New Roman" w:hAnsi="Times New Roman" w:eastAsia="宋体" w:cs="Times New Roman"/>
      <w:b w:val="0"/>
      <w:bCs/>
      <w:i w:val="0"/>
      <w:color w:val="333333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line="276" w:lineRule="auto" w:before="120" w:after="120"/>
      <w:shd w:val="clear" w:color="auto" w:fill="F8F8F8"/>
      <w:ind w:firstLineChars="0" w:firstLine="0"/>
    </w:pPr>
    <w:rPr>
      <w:rFonts w:ascii="Consolas" w:hAnsi="Consolas" w:eastAsia="宋体" w:cs="Consolas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大语言模型驱动的中文公文格式自动化研究</dc:title>
  <dc:subject/>
  <dc:creator>赵六</dc:creator>
  <cp:keywords>大语言模型, 文档自动化, 公文格式, 中文 NLP</cp:keywords>
  <dc:description>示范 @paper 模板的典型学术论文写法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