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第十九周工作汇报</w:t>
      </w:r>
    </w:p>
    <w:p>
      <w:pPr/>
      <w:r>
        <w:rPr>
          <w:b w:val="0"/>
          <w:i w:val="0"/>
        </w:rPr>
        <w:t>报告人:李四  ·  汇报周期:2026 年 5 月 11 日 — 5 月 15 日</w:t>
      </w:r>
    </w:p>
    <w:p>
      <w:pPr>
        <w:pStyle w:val="Heading2"/>
      </w:pPr>
      <w:r>
        <w:rPr>
          <w:b w:val="0"/>
          <w:i w:val="0"/>
        </w:rPr>
        <w:t>一、本周完成情况</w:t>
      </w:r>
    </w:p>
    <w:p>
      <w:pPr>
        <w:pStyle w:val="Heading3"/>
      </w:pPr>
      <w:r>
        <w:rPr>
          <w:b w:val="0"/>
          <w:i w:val="0"/>
        </w:rPr>
        <w:t>1. 主推项目</w:t>
      </w:r>
    </w:p>
    <w:p>
      <w:pPr/>
      <w:r>
        <w:rPr>
          <w:b w:val="0"/>
          <w:i w:val="0"/>
        </w:rPr>
        <w:t>完成了 X 系统的二期开发上线工作,具体进展如下: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需求评审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:周一完成与产品方的最终需求对齐,确认本期不再加新功能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开发联调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:周二至周四完成全部接口联调,后端 5 个接口、前端 3 个页面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</w:r>
      <w:r>
        <w:rPr>
          <w:b/>
          <w:i w:val="0"/>
          <w:rFonts w:ascii="Times New Roman" w:hAnsi="Times New Roman" w:eastAsia="宋体" w:cs="Times New Roman"/>
          <w:sz w:val="22"/>
        </w:rPr>
        <w:t>测试发布</w:t>
      </w:r>
      <w:r>
        <w:rPr>
          <w:b w:val="0"/>
          <w:i w:val="0"/>
          <w:rFonts w:ascii="Times New Roman" w:hAnsi="Times New Roman" w:eastAsia="宋体" w:cs="Times New Roman"/>
          <w:sz w:val="22"/>
        </w:rPr>
        <w:t>:周五完成线上灰度发布,目前观察 24 小时无异常</w:t>
      </w:r>
    </w:p>
    <w:p>
      <w:pPr>
        <w:pStyle w:val="Heading3"/>
      </w:pPr>
      <w:r>
        <w:rPr>
          <w:b w:val="0"/>
          <w:i w:val="0"/>
        </w:rPr>
        <w:t>2. 日常事务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处理生产告警 3 起,均已闭环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参与跨部门评审 2 次</w:t>
      </w:r>
    </w:p>
    <w:p>
      <w:pPr>
        <w:pStyle w:val="ListBullet"/>
      </w:pPr>
      <w:r>
        <w:rPr>
          <w:b w:val="0"/>
          <w:i w:val="0"/>
          <w:rFonts w:ascii="Times New Roman" w:hAnsi="Times New Roman" w:eastAsia="宋体" w:cs="Times New Roman"/>
          <w:sz w:val="22"/>
        </w:rPr>
        <w:t>代码评审 7 次,合并 5 个 PR</w:t>
      </w:r>
    </w:p>
    <w:p>
      <w:pPr>
        <w:pStyle w:val="Heading2"/>
      </w:pPr>
      <w:r>
        <w:rPr>
          <w:b w:val="0"/>
          <w:i w:val="0"/>
        </w:rPr>
        <w:t>二、关键数据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/>
            <w:r>
              <w:rPr>
                <w:b/>
                <w:i w:val="0"/>
              </w:rPr>
              <w:t>指标</w:t>
            </w:r>
          </w:p>
        </w:tc>
        <w:tc>
          <w:tcPr>
            <w:tcW w:type="dxa" w:w="2075"/>
          </w:tcPr>
          <w:p>
            <w:r/>
            <w:r>
              <w:rPr>
                <w:b/>
                <w:i w:val="0"/>
              </w:rPr>
              <w:t>上周</w:t>
            </w:r>
          </w:p>
        </w:tc>
        <w:tc>
          <w:tcPr>
            <w:tcW w:type="dxa" w:w="2075"/>
          </w:tcPr>
          <w:p>
            <w:r/>
            <w:r>
              <w:rPr>
                <w:b/>
                <w:i w:val="0"/>
              </w:rPr>
              <w:t>本周</w:t>
            </w:r>
          </w:p>
        </w:tc>
        <w:tc>
          <w:tcPr>
            <w:tcW w:type="dxa" w:w="2075"/>
          </w:tcPr>
          <w:p>
            <w:r/>
            <w:r>
              <w:rPr>
                <w:b/>
                <w:i w:val="0"/>
              </w:rPr>
              <w:t>变化</w:t>
            </w:r>
          </w:p>
        </w:tc>
      </w:tr>
      <w:tr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上线特性数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+100%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线上故障数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-1</w:t>
            </w:r>
          </w:p>
        </w:tc>
      </w:tr>
      <w:tr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代码评审平均响应时长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6 小时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3 小时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-50%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跨部门会议时长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12 小时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6 小时</w:t>
            </w:r>
          </w:p>
        </w:tc>
        <w:tc>
          <w:tcPr>
            <w:tcW w:type="dxa" w:w="2075"/>
          </w:tcPr>
          <w:p>
            <w:r/>
            <w:r>
              <w:rPr>
                <w:b w:val="0"/>
                <w:i w:val="0"/>
              </w:rPr>
              <w:t>-50%</w:t>
            </w:r>
          </w:p>
        </w:tc>
      </w:tr>
    </w:tbl>
    <w:p>
      <w:pPr>
        <w:pStyle w:val="Heading2"/>
      </w:pPr>
      <w:r>
        <w:rPr>
          <w:b w:val="0"/>
          <w:i w:val="0"/>
        </w:rPr>
        <w:t>三、问题与建议</w:t>
      </w:r>
    </w:p>
    <w:p>
      <w:pPr>
        <w:pStyle w:val="Quote"/>
      </w:pPr>
      <w:r>
        <w:rPr>
          <w:b w:val="0"/>
          <w:i w:val="0"/>
        </w:rPr>
        <w:t>当前测试环境 CI 流水线偶发性超时(本周遇到 2 次),已与基建团队沟通,初步定位为镜像拉取节点带宽受限。建议下周协调资源扩容。</w:t>
      </w:r>
    </w:p>
    <w:p>
      <w:pPr>
        <w:pStyle w:val="Heading2"/>
      </w:pPr>
      <w:r>
        <w:rPr>
          <w:b w:val="0"/>
          <w:i w:val="0"/>
        </w:rPr>
        <w:t>四、下周计划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  <w:t>启动 Y 项目的技术方案设计,目标周三前出初稿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  <w:t>完成 X 系统的运营数据看板对接</w:t>
      </w:r>
    </w:p>
    <w:p>
      <w:pPr>
        <w:pStyle w:val="ListNumber"/>
      </w:pPr>
      <w:r>
        <w:rPr>
          <w:b w:val="0"/>
          <w:i w:val="0"/>
          <w:rFonts w:ascii="Times New Roman" w:hAnsi="Times New Roman" w:eastAsia="宋体" w:cs="Times New Roman"/>
          <w:sz w:val="22"/>
        </w:rPr>
        <w:t>协助新同事 W 完成入职适应,本周已经做了一次 1-on-1</w:t>
      </w:r>
    </w:p>
    <w:p>
      <w:pPr>
        <w:pStyle w:val="Heading2"/>
      </w:pPr>
      <w:r>
        <w:rPr>
          <w:b w:val="0"/>
          <w:i w:val="0"/>
        </w:rPr>
        <w:t>五、其他</w:t>
      </w:r>
    </w:p>
    <w:p>
      <w:pPr/>
      <w:r>
        <w:rPr>
          <w:b w:val="0"/>
          <w:i w:val="0"/>
        </w:rPr>
        <w:t>无。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SpaceDE w:val="1"/>
  <w:autoSpaceD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0"/>
    </w:pPr>
    <w:rPr>
      <w:rFonts w:ascii="Times New Roman" w:hAnsi="Times New Roman" w:eastAsia="宋体" w:cs="Times New Roma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  <w:jc w:val="left"/>
      <w:ind w:firstLineChars="0" w:firstLine="0"/>
    </w:pPr>
    <w:rPr>
      <w:rFonts w:ascii="Arial" w:hAnsi="Arial" w:eastAsia="黑体" w:cs="Arial"/>
      <w:b/>
      <w:bCs/>
      <w:i w:val="0"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60" w:lineRule="auto"/>
      <w:outlineLvl w:val="1"/>
      <w:jc w:val="left"/>
      <w:ind w:firstLineChars="0" w:firstLine="0"/>
    </w:pPr>
    <w:rPr>
      <w:rFonts w:ascii="Arial" w:hAnsi="Arial" w:eastAsia="黑体" w:cs="Arial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outlineLvl w:val="2"/>
      <w:jc w:val="left"/>
      <w:ind w:firstLineChars="0" w:firstLine="0"/>
    </w:pPr>
    <w:rPr>
      <w:rFonts w:ascii="Arial" w:hAnsi="Arial" w:eastAsia="黑体" w:cs="Arial"/>
      <w:b/>
      <w:bCs/>
      <w:i w:val="0"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3"/>
      <w:jc w:val="left"/>
      <w:ind w:firstLineChars="0" w:firstLine="0"/>
    </w:pPr>
    <w:rPr>
      <w:rFonts w:ascii="Arial" w:hAnsi="Arial" w:eastAsia="黑体" w:cs="Arial"/>
      <w:b/>
      <w:bCs/>
      <w:i w:val="0"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80" w:line="360" w:lineRule="auto"/>
      <w:outlineLvl w:val="4"/>
      <w:jc w:val="left"/>
      <w:ind w:firstLineChars="0" w:firstLine="0"/>
    </w:pPr>
    <w:rPr>
      <w:rFonts w:ascii="Arial" w:hAnsi="Arial" w:eastAsia="黑体" w:cs="Arial"/>
      <w:b/>
      <w:i w:val="0"/>
      <w:color w:val="243F60" w:themeColor="accent1" w:themeShade="7F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80" w:line="360" w:lineRule="auto"/>
      <w:outlineLvl w:val="5"/>
      <w:jc w:val="left"/>
      <w:ind w:firstLineChars="0" w:firstLine="0"/>
    </w:pPr>
    <w:rPr>
      <w:rFonts w:ascii="Arial" w:hAnsi="Arial" w:eastAsia="黑体" w:cs="Arial"/>
      <w:b/>
      <w:i w:val="0"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contextualSpacing/>
      <w:jc w:val="center"/>
      <w:ind w:firstLineChars="0" w:firstLine="0"/>
    </w:pPr>
    <w:rPr>
      <w:rFonts w:ascii="Arial" w:hAnsi="Arial" w:eastAsia="黑体" w:cs="Arial"/>
      <w:b/>
      <w:i w:val="0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60" w:lineRule="auto" w:before="0" w:after="360"/>
      <w:jc w:val="center"/>
      <w:ind w:firstLineChars="0" w:firstLine="0"/>
    </w:pPr>
    <w:rPr>
      <w:rFonts w:ascii="Times New Roman" w:hAnsi="Times New Roman" w:eastAsia="宋体" w:cs="Times New Roman"/>
      <w:b w:val="0"/>
      <w:i w:val="0"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/>
      <w:ind w:firstLineChars="0" w:firstLine="0"/>
    </w:pPr>
    <w:rPr>
      <w:rFonts w:ascii="Times New Roman" w:hAnsi="Times New Roman" w:eastAsia="宋体" w:cs="Times New Roman"/>
      <w:b w:val="0"/>
      <w:i w:val="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/>
      <w:ind w:firstLineChars="0" w:firstLine="0"/>
    </w:pPr>
    <w:rPr>
      <w:rFonts w:ascii="Times New Roman" w:hAnsi="Times New Roman" w:eastAsia="宋体" w:cs="Times New Roman"/>
      <w:b w:val="0"/>
      <w:i w:val="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 w:before="120" w:after="120"/>
      <w:pBdr>
        <w:left w:val="single" w:sz="24" w:space="8" w:color="4A90E2"/>
      </w:pBdr>
      <w:ind w:firstLineChars="0" w:firstLine="0" w:left="480"/>
    </w:pPr>
    <w:rPr>
      <w:rFonts w:ascii="Times New Roman" w:hAnsi="Times New Roman" w:eastAsia="宋体" w:cs="Times New Roman"/>
      <w:b w:val="0"/>
      <w:i w:val="0"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240"/>
      <w:jc w:val="center"/>
      <w:ind w:firstLineChars="0" w:firstLine="0"/>
    </w:pPr>
    <w:rPr>
      <w:rFonts w:ascii="Times New Roman" w:hAnsi="Times New Roman" w:eastAsia="宋体" w:cs="Times New Roman"/>
      <w:b w:val="0"/>
      <w:bCs/>
      <w:i w:val="0"/>
      <w:color w:val="555555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76" w:lineRule="auto" w:before="120" w:after="120"/>
      <w:shd w:val="clear" w:color="auto" w:fill="F5F5F5"/>
      <w:ind w:firstLineChars="0" w:firstLine="0"/>
    </w:pPr>
    <w:rPr>
      <w:rFonts w:ascii="Consolas" w:hAnsi="Consolas" w:eastAsia="宋体" w:cs="Consolas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第十九周工作汇报</dc:title>
  <dc:subject/>
  <dc:creator>李四</dc:creator>
  <cp:keywords/>
  <dc:description>示范 @report 模板的典型周报写法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