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用户活跃度统计服务技术方案</w:t>
      </w:r>
    </w:p>
    <w:p>
      <w:pPr/>
      <w:r>
        <w:rPr>
          <w:b w:val="0"/>
          <w:i w:val="0"/>
        </w:rPr>
        <w:t>作者:王五  ·  版本:v0.3  ·  状态:评审中</w:t>
      </w:r>
    </w:p>
    <w:p>
      <w:pPr>
        <w:pStyle w:val="Heading2"/>
      </w:pPr>
      <w:r>
        <w:rPr>
          <w:b w:val="0"/>
          <w:i w:val="0"/>
        </w:rPr>
        <w:t>1. 背景与目标</w:t>
      </w:r>
    </w:p>
    <w:p>
      <w:pPr>
        <w:pStyle w:val="Heading3"/>
      </w:pPr>
      <w:r>
        <w:rPr>
          <w:b w:val="0"/>
          <w:i w:val="0"/>
        </w:rPr>
        <w:t>1.1 业务背景</w:t>
      </w:r>
    </w:p>
    <w:p>
      <w:pPr/>
      <w:r>
        <w:rPr>
          <w:b w:val="0"/>
          <w:i w:val="0"/>
        </w:rPr>
        <w:t>随着用户规模增长,业务方对"用户活跃度"指标的查询频率提升,现有方案存在以下问题: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实时查询直接打到主库,QPS 峰值时段拖慢业务表读取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统计口径分散在各业务系统,数据一致性差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历史回溯查询(超过 7 天)依赖临时跑批,响应慢且重复劳动</w:t>
      </w:r>
    </w:p>
    <w:p>
      <w:pPr>
        <w:pStyle w:val="Heading3"/>
      </w:pPr>
      <w:r>
        <w:rPr>
          <w:b w:val="0"/>
          <w:i w:val="0"/>
        </w:rPr>
        <w:t>1.2 设计目标</w:t>
      </w:r>
    </w:p>
    <w:p>
      <w:pPr/>
      <w:r>
        <w:rPr>
          <w:b w:val="0"/>
          <w:i w:val="0"/>
        </w:rPr>
        <w:t>设计并实现一个</w:t>
      </w:r>
      <w:r>
        <w:rPr>
          <w:b/>
          <w:i w:val="0"/>
        </w:rPr>
        <w:t>统一的用户活跃度统计服务</w:t>
      </w:r>
      <w:r>
        <w:rPr>
          <w:b w:val="0"/>
          <w:i w:val="0"/>
        </w:rPr>
        <w:t>,达成: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/>
                <w:i w:val="0"/>
              </w:rPr>
              <w:t>维度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</w:rPr>
              <w:t>目标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查询性能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P99 响应 &lt; 200ms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数据时效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准实时(&lt; 5 分钟延迟)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历史回溯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支持任意时段查询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数据一致性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与业务库差异 &lt; 0.1%</w:t>
            </w:r>
          </w:p>
        </w:tc>
      </w:tr>
    </w:tbl>
    <w:p>
      <w:pPr>
        <w:pStyle w:val="Heading2"/>
      </w:pPr>
      <w:r>
        <w:rPr>
          <w:b w:val="0"/>
          <w:i w:val="0"/>
        </w:rPr>
        <w:t>2. 整体架构</w:t>
      </w:r>
    </w:p>
    <w:p>
      <w:pPr>
        <w:pStyle w:val="Heading3"/>
      </w:pPr>
      <w:r>
        <w:rPr>
          <w:b w:val="0"/>
          <w:i w:val="0"/>
        </w:rPr>
        <w:t>2.1 架构图</w:t>
      </w:r>
    </w:p>
    <w:p>
      <w:pPr/>
      <w:r>
        <w:rPr>
          <w:b w:val="0"/>
          <w:i w:val="0"/>
        </w:rPr>
        <w:t>(此处插入架构图)</w:t>
      </w:r>
    </w:p>
    <w:p>
      <w:pPr>
        <w:pStyle w:val="Heading3"/>
      </w:pPr>
      <w:r>
        <w:rPr>
          <w:b w:val="0"/>
          <w:i w:val="0"/>
        </w:rPr>
        <w:t>2.2 核心组件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数据采集层</w:t>
      </w:r>
      <w:r>
        <w:rPr>
          <w:b w:val="0"/>
          <w:i w:val="0"/>
          <w:rFonts w:ascii="Times New Roman" w:hAnsi="Times New Roman" w:eastAsia="宋体" w:cs="Times New Roman"/>
          <w:sz w:val="22"/>
        </w:rPr>
        <w:t>:订阅业务库 binlog,经 Kafka 投递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流处理层</w:t>
      </w:r>
      <w:r>
        <w:rPr>
          <w:b w:val="0"/>
          <w:i w:val="0"/>
          <w:rFonts w:ascii="Times New Roman" w:hAnsi="Times New Roman" w:eastAsia="宋体" w:cs="Times New Roman"/>
          <w:sz w:val="22"/>
        </w:rPr>
        <w:t>:Flink 作业聚合用户行为,5 分钟一个窗口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存储层</w:t>
      </w:r>
      <w:r>
        <w:rPr>
          <w:b w:val="0"/>
          <w:i w:val="0"/>
          <w:rFonts w:ascii="Times New Roman" w:hAnsi="Times New Roman" w:eastAsia="宋体" w:cs="Times New Roman"/>
          <w:sz w:val="22"/>
        </w:rPr>
        <w:t>:ClickHouse 列存,按用户分区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服务层</w:t>
      </w:r>
      <w:r>
        <w:rPr>
          <w:b w:val="0"/>
          <w:i w:val="0"/>
          <w:rFonts w:ascii="Times New Roman" w:hAnsi="Times New Roman" w:eastAsia="宋体" w:cs="Times New Roman"/>
          <w:sz w:val="22"/>
        </w:rPr>
        <w:t>:Go 编写的查询服务,内置多级缓存</w:t>
      </w:r>
    </w:p>
    <w:p>
      <w:pPr>
        <w:pStyle w:val="Heading2"/>
      </w:pPr>
      <w:r>
        <w:rPr>
          <w:b w:val="0"/>
          <w:i w:val="0"/>
        </w:rPr>
        <w:t>3. 关键技术决策</w:t>
      </w:r>
    </w:p>
    <w:p>
      <w:pPr>
        <w:pStyle w:val="Heading3"/>
      </w:pPr>
      <w:r>
        <w:rPr>
          <w:b w:val="0"/>
          <w:i w:val="0"/>
        </w:rPr>
        <w:t>3.1 为什么选 ClickHouse 而不是 Druid</w:t>
      </w:r>
    </w:p>
    <w:p>
      <w:pPr>
        <w:pStyle w:val="Quote"/>
      </w:pPr>
      <w:r>
        <w:rPr>
          <w:b w:val="0"/>
          <w:i w:val="0"/>
        </w:rPr>
        <w:t>在数据量级 &lt; 10 亿行、单点写入吞吐 &lt; 50 MB/s 的场景下,ClickHouse 的查询性能优于 Druid 约 30%,且运维成本更低。Druid 的优势主要体现在更大规模(&gt; 100 亿行)的查询并发场景,本场景用不到。</w:t>
      </w:r>
    </w:p>
    <w:p>
      <w:pPr>
        <w:pStyle w:val="Heading3"/>
      </w:pPr>
      <w:r>
        <w:rPr>
          <w:b w:val="0"/>
          <w:i w:val="0"/>
        </w:rPr>
        <w:t>3.2 缓存策略</w:t>
      </w:r>
    </w:p>
    <w:p>
      <w:pPr>
        <w:pStyle w:val="CodeBlock"/>
      </w:pPr>
      <w:r>
        <w:rPr>
          <w:rFonts w:ascii="Consolas" w:hAnsi="Consolas" w:eastAsia="宋体" w:cs="Consolas"/>
          <w:sz w:val="20"/>
        </w:rPr>
        <w:t>// 三层缓存:本地 LRU → Redis → ClickHouse</w:t>
        <w:br/>
      </w:r>
      <w:r>
        <w:rPr>
          <w:rFonts w:ascii="Consolas" w:hAnsi="Consolas" w:eastAsia="宋体" w:cs="Consolas"/>
          <w:sz w:val="20"/>
        </w:rPr>
        <w:t>func (s *Service) Query(uid int64, day string) (*Stats, error) {</w:t>
        <w:br/>
      </w:r>
      <w:r>
        <w:rPr>
          <w:rFonts w:ascii="Consolas" w:hAnsi="Consolas" w:eastAsia="宋体" w:cs="Consolas"/>
          <w:sz w:val="20"/>
        </w:rPr>
        <w:t xml:space="preserve">    if v, ok := s.lru.Get(key(uid, day)); ok {</w:t>
        <w:br/>
      </w:r>
      <w:r>
        <w:rPr>
          <w:rFonts w:ascii="Consolas" w:hAnsi="Consolas" w:eastAsia="宋体" w:cs="Consolas"/>
          <w:sz w:val="20"/>
        </w:rPr>
        <w:t xml:space="preserve">        return v.(*Stats), nil</w:t>
        <w:br/>
      </w:r>
      <w:r>
        <w:rPr>
          <w:rFonts w:ascii="Consolas" w:hAnsi="Consolas" w:eastAsia="宋体" w:cs="Consolas"/>
          <w:sz w:val="20"/>
        </w:rPr>
        <w:t xml:space="preserve">    }</w:t>
        <w:br/>
      </w:r>
      <w:r>
        <w:rPr>
          <w:rFonts w:ascii="Consolas" w:hAnsi="Consolas" w:eastAsia="宋体" w:cs="Consolas"/>
          <w:sz w:val="20"/>
        </w:rPr>
        <w:t xml:space="preserve">    if v, err := s.redis.Get(key(uid, day)); err == nil {</w:t>
        <w:br/>
      </w:r>
      <w:r>
        <w:rPr>
          <w:rFonts w:ascii="Consolas" w:hAnsi="Consolas" w:eastAsia="宋体" w:cs="Consolas"/>
          <w:sz w:val="20"/>
        </w:rPr>
        <w:t xml:space="preserve">        return v, nil</w:t>
        <w:br/>
      </w:r>
      <w:r>
        <w:rPr>
          <w:rFonts w:ascii="Consolas" w:hAnsi="Consolas" w:eastAsia="宋体" w:cs="Consolas"/>
          <w:sz w:val="20"/>
        </w:rPr>
        <w:t xml:space="preserve">    }</w:t>
        <w:br/>
      </w:r>
      <w:r>
        <w:rPr>
          <w:rFonts w:ascii="Consolas" w:hAnsi="Consolas" w:eastAsia="宋体" w:cs="Consolas"/>
          <w:sz w:val="20"/>
        </w:rPr>
        <w:t xml:space="preserve">    return s.queryFromCH(uid, day)</w:t>
        <w:br/>
      </w:r>
      <w:r>
        <w:rPr>
          <w:rFonts w:ascii="Consolas" w:hAnsi="Consolas" w:eastAsia="宋体" w:cs="Consolas"/>
          <w:sz w:val="20"/>
        </w:rPr>
        <w:t>}</w:t>
      </w:r>
    </w:p>
    <w:p>
      <w:pPr/>
      <w:r>
        <w:rPr>
          <w:b w:val="0"/>
          <w:i w:val="0"/>
        </w:rPr>
        <w:t>本地 LRU 命中率预估 35%,Redis 命中率预估 50%,落到 ClickHouse 的请求约占 15%。</w:t>
      </w:r>
    </w:p>
    <w:p>
      <w:pPr>
        <w:pStyle w:val="Heading2"/>
      </w:pPr>
      <w:r>
        <w:rPr>
          <w:b w:val="0"/>
          <w:i w:val="0"/>
        </w:rPr>
        <w:t>4. 容量与成本</w:t>
      </w:r>
    </w:p>
    <w:p>
      <w:pPr>
        <w:pStyle w:val="Heading3"/>
      </w:pPr>
      <w:r>
        <w:rPr>
          <w:b w:val="0"/>
          <w:i w:val="0"/>
        </w:rPr>
        <w:t>4.1 数据量估算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用户基数:1500 万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日活:500 万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每用户每日产生事件:平均 40 条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单条事件大小:120 字节</w:t>
      </w:r>
    </w:p>
    <w:p>
      <w:pPr/>
      <w:r>
        <w:rPr>
          <w:b w:val="0"/>
          <w:i w:val="0"/>
        </w:rPr>
        <w:t>日增数据量约 24 GB,年增 8.7 TB。按 ClickHouse 3 倍压缩比,实际存储约 2.9 TB。</w:t>
      </w:r>
    </w:p>
    <w:p>
      <w:pPr>
        <w:pStyle w:val="Heading3"/>
      </w:pPr>
      <w:r>
        <w:rPr>
          <w:b w:val="0"/>
          <w:i w:val="0"/>
        </w:rPr>
        <w:t>4.2 硬件成本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b/>
                <w:i w:val="0"/>
              </w:rPr>
              <w:t>组件</w:t>
            </w:r>
          </w:p>
        </w:tc>
        <w:tc>
          <w:tcPr>
            <w:tcW w:type="dxa" w:w="2409"/>
          </w:tcPr>
          <w:p>
            <w:r/>
            <w:r>
              <w:rPr>
                <w:b/>
                <w:i w:val="0"/>
              </w:rPr>
              <w:t>配置</w:t>
            </w:r>
          </w:p>
        </w:tc>
        <w:tc>
          <w:tcPr>
            <w:tcW w:type="dxa" w:w="2409"/>
          </w:tcPr>
          <w:p>
            <w:r/>
            <w:r>
              <w:rPr>
                <w:b/>
                <w:i w:val="0"/>
              </w:rPr>
              <w:t>数量</w:t>
            </w:r>
          </w:p>
        </w:tc>
        <w:tc>
          <w:tcPr>
            <w:tcW w:type="dxa" w:w="2409"/>
          </w:tcPr>
          <w:p>
            <w:r/>
            <w:r>
              <w:rPr>
                <w:b/>
                <w:i w:val="0"/>
              </w:rPr>
              <w:t>月成本(元)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Flink 计算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16C 64G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9000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ClickHouse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32C 128G + 4TB SSD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22500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Redis 集群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16G × 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1 套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1500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服务节点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8C 16G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</w:rPr>
              <w:t>6000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合计</w:t>
            </w:r>
            <w:r>
              <w:rPr>
                <w:b w:val="0"/>
                <w:i w:val="0"/>
              </w:rPr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39000</w:t>
            </w:r>
            <w:r>
              <w:rPr>
                <w:b w:val="0"/>
                <w:i w:val="0"/>
              </w:rPr>
            </w:r>
          </w:p>
        </w:tc>
      </w:tr>
    </w:tbl>
    <w:p>
      <w:pPr>
        <w:pStyle w:val="Heading2"/>
      </w:pPr>
      <w:r>
        <w:rPr>
          <w:b w:val="0"/>
          <w:i w:val="0"/>
        </w:rPr>
        <w:t>5. 上线计划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第 1-2 周</w:t>
      </w:r>
      <w:r>
        <w:rPr>
          <w:b w:val="0"/>
          <w:i w:val="0"/>
          <w:rFonts w:ascii="Times New Roman" w:hAnsi="Times New Roman" w:eastAsia="宋体" w:cs="Times New Roman"/>
          <w:sz w:val="22"/>
        </w:rPr>
        <w:t>:基础架构搭建,数据通路打通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第 3-4 周</w:t>
      </w:r>
      <w:r>
        <w:rPr>
          <w:b w:val="0"/>
          <w:i w:val="0"/>
          <w:rFonts w:ascii="Times New Roman" w:hAnsi="Times New Roman" w:eastAsia="宋体" w:cs="Times New Roman"/>
          <w:sz w:val="22"/>
        </w:rPr>
        <w:t>:核心查询接口开发,完成单元测试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第 5 周</w:t>
      </w:r>
      <w:r>
        <w:rPr>
          <w:b w:val="0"/>
          <w:i w:val="0"/>
          <w:rFonts w:ascii="Times New Roman" w:hAnsi="Times New Roman" w:eastAsia="宋体" w:cs="Times New Roman"/>
          <w:sz w:val="22"/>
        </w:rPr>
        <w:t>:压测与调优,目标达成 P99 &lt; 200ms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第 6 周</w:t>
      </w:r>
      <w:r>
        <w:rPr>
          <w:b w:val="0"/>
          <w:i w:val="0"/>
          <w:rFonts w:ascii="Times New Roman" w:hAnsi="Times New Roman" w:eastAsia="宋体" w:cs="Times New Roman"/>
          <w:sz w:val="22"/>
        </w:rPr>
        <w:t>:灰度上线,逐步切流至 100%</w:t>
      </w:r>
    </w:p>
    <w:p>
      <w:pPr>
        <w:pStyle w:val="Heading2"/>
      </w:pPr>
      <w:r>
        <w:rPr>
          <w:b w:val="0"/>
          <w:i w:val="0"/>
        </w:rPr>
        <w:t>6. 风险与应对</w:t>
      </w:r>
    </w:p>
    <w:p>
      <w:pPr/>
      <w:r>
        <w:rPr>
          <w:b w:val="0"/>
          <w:i w:val="0"/>
        </w:rPr>
        <w:t>主要风险点:Flink 作业稳定性。应对方案: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双流冗余部署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异常恢复时支持从 Kafka 任意位点回放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关键指标看板 + 告警机制</w:t>
      </w:r>
    </w:p>
    <w:p>
      <w:pPr>
        <w:pStyle w:val="Heading2"/>
      </w:pPr>
      <w:r>
        <w:rPr>
          <w:b w:val="0"/>
          <w:i w:val="0"/>
        </w:rPr>
        <w:t>7. 评审问题清单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[ ] 缓存击穿场景的兜底策略是否充分?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[ ] 容量预估是否考虑了双 11 等大促场景?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[ ] 与现有用户画像服务的边界如何划清?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SpaceDE w:val="1"/>
  <w:autoSpaceD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0"/>
    </w:pPr>
    <w:rPr>
      <w:rFonts w:ascii="Calibri" w:hAnsi="Calibri" w:eastAsia="宋体" w:cs="Calibri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60" w:lineRule="auto"/>
      <w:outlineLvl w:val="0"/>
      <w:jc w:val="left"/>
      <w:ind w:firstLineChars="0" w:firstLine="0"/>
    </w:pPr>
    <w:rPr>
      <w:rFonts w:ascii="Arial" w:hAnsi="Arial" w:eastAsia="微软雅黑" w:cs="Arial"/>
      <w:b/>
      <w:bCs/>
      <w:i w:val="0"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60" w:lineRule="auto"/>
      <w:outlineLvl w:val="1"/>
      <w:jc w:val="left"/>
      <w:ind w:firstLineChars="0" w:firstLine="0"/>
    </w:pPr>
    <w:rPr>
      <w:rFonts w:ascii="Arial" w:hAnsi="Arial" w:eastAsia="微软雅黑" w:cs="Arial"/>
      <w:b/>
      <w:bCs/>
      <w:i w:val="0"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  <w:jc w:val="left"/>
      <w:ind w:firstLineChars="0" w:firstLine="0"/>
    </w:pPr>
    <w:rPr>
      <w:rFonts w:ascii="Arial" w:hAnsi="Arial" w:eastAsia="微软雅黑" w:cs="Arial"/>
      <w:b/>
      <w:bCs/>
      <w:i w:val="0"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360" w:lineRule="auto"/>
      <w:outlineLvl w:val="3"/>
      <w:jc w:val="left"/>
      <w:ind w:firstLineChars="0" w:firstLine="0"/>
    </w:pPr>
    <w:rPr>
      <w:rFonts w:ascii="Arial" w:hAnsi="Arial" w:eastAsia="微软雅黑" w:cs="Arial"/>
      <w:b/>
      <w:bCs/>
      <w:i w:val="0"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80" w:line="360" w:lineRule="auto"/>
      <w:outlineLvl w:val="4"/>
      <w:jc w:val="left"/>
      <w:ind w:firstLineChars="0" w:firstLine="0"/>
    </w:pPr>
    <w:rPr>
      <w:rFonts w:ascii="Arial" w:hAnsi="Arial" w:eastAsia="黑体" w:cs="Arial"/>
      <w:b/>
      <w:i w:val="0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80" w:line="360" w:lineRule="auto"/>
      <w:outlineLvl w:val="5"/>
      <w:jc w:val="left"/>
      <w:ind w:firstLineChars="0" w:firstLine="0"/>
    </w:pPr>
    <w:rPr>
      <w:rFonts w:ascii="Arial" w:hAnsi="Arial" w:eastAsia="黑体" w:cs="Arial"/>
      <w:b w:val="0"/>
      <w:i w:val="0"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contextualSpacing/>
      <w:jc w:val="center"/>
      <w:ind w:firstLineChars="0" w:firstLine="0"/>
    </w:pPr>
    <w:rPr>
      <w:rFonts w:ascii="Arial" w:hAnsi="Arial" w:eastAsia="微软雅黑" w:cs="Arial"/>
      <w:b/>
      <w:i w:val="0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 w:before="0" w:after="360"/>
      <w:jc w:val="center"/>
      <w:ind w:firstLineChars="0" w:firstLine="0"/>
    </w:pPr>
    <w:rPr>
      <w:rFonts w:ascii="Calibri" w:hAnsi="Calibri" w:eastAsia="宋体" w:cs="Calibri"/>
      <w:b w:val="0"/>
      <w:i w:val="0"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line="360" w:lineRule="auto"/>
      <w:ind w:firstLineChars="0" w:firstLine="0"/>
    </w:pPr>
    <w:rPr>
      <w:rFonts w:ascii="Calibri" w:hAnsi="Calibri" w:eastAsia="宋体" w:cs="Calibri"/>
      <w:b w:val="0"/>
      <w:i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line="360" w:lineRule="auto"/>
      <w:ind w:firstLineChars="0" w:firstLine="0"/>
    </w:pPr>
    <w:rPr>
      <w:rFonts w:ascii="Calibri" w:hAnsi="Calibri" w:eastAsia="宋体" w:cs="Calibri"/>
      <w:b w:val="0"/>
      <w:i w:val="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60" w:lineRule="auto" w:before="120" w:after="120"/>
      <w:pBdr>
        <w:left w:val="single" w:sz="24" w:space="8" w:color="4A90E2"/>
      </w:pBdr>
      <w:ind w:firstLineChars="0" w:firstLine="0" w:left="480"/>
    </w:pPr>
    <w:rPr>
      <w:rFonts w:ascii="Calibri" w:hAnsi="Calibri" w:eastAsia="宋体" w:cs="Calibri"/>
      <w:b w:val="0"/>
      <w:i w:val="0"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40" w:after="240"/>
      <w:jc w:val="center"/>
      <w:ind w:firstLineChars="0" w:firstLine="0"/>
    </w:pPr>
    <w:rPr>
      <w:rFonts w:ascii="Times New Roman" w:hAnsi="Times New Roman" w:eastAsia="楷体" w:cs="Times New Roman"/>
      <w:b w:val="0"/>
      <w:bCs/>
      <w:i w:val="0"/>
      <w:color w:val="555555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line="288" w:lineRule="auto" w:before="120" w:after="120"/>
      <w:shd w:val="clear" w:color="auto" w:fill="F0F0F2"/>
      <w:ind w:firstLineChars="0" w:firstLine="0"/>
    </w:pPr>
    <w:rPr>
      <w:rFonts w:ascii="Consolas" w:hAnsi="Consolas" w:eastAsia="宋体" w:cs="Consolas"/>
      <w:b w:val="0"/>
      <w:i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微软雅黑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用户活跃度统计服务技术方案</dc:title>
  <dc:subject/>
  <dc:creator>王五</dc:creator>
  <cp:keywords/>
  <dc:description>示范 @tech_doc 模板的典型技术方案写法</dc:description>
  <cp:lastModifiedBy/>
  <cp:revision>1</cp:revision>
  <dcterms:created xsi:type="dcterms:W3CDTF">2013-12-23T23:15:00Z</dcterms:created>
  <dcterms:modified xsi:type="dcterms:W3CDTF">2013-12-23T23:15:00Z</dcterms:modified>
  <cp:category/>
  <cp:version>v0.3</cp:version>
</cp:coreProperties>
</file>