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C0392B" w:val="clear"/>
        <w:spacing w:after="200" w:before="0"/>
        <w:jc w:val="center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CONFIDENTIAL</w:t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Đơn vị Tư vấn Test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C757D"/>
          <w:sz w:val="19"/>
          <w:szCs w:val="19"/>
        </w:rPr>
        <w:t xml:space="preserve"/>
      </w:r>
    </w:p>
    <w:p>
      <w:pPr>
        <w:pBdr>
          <w:bottom w:val="single" w:color="2E5FA3" w:sz="6" w:space="1"/>
        </w:pBdr>
        <w:spacing w:after="60" w:before="60"/>
      </w:pPr>
      <w:r>
        <w:t xml:space="preserve"/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3564"/>
          <w:sz w:val="54"/>
          <w:szCs w:val="54"/>
        </w:rPr>
        <w:t xml:space="preserve">BÁO CÁO KHẢO SÁT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PHÂN TÍCH KHOẢNG CÁCH (GAP ANALYSIS)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0D7377"/>
          <w:sz w:val="24"/>
          <w:szCs w:val="24"/>
        </w:rPr>
        <w:t xml:space="preserve">Hệ thống Quản lý Năng lượng — ISO 50001:2018</w:t>
      </w:r>
    </w:p>
    <w:p>
      <w:pPr>
        <w:shd w:fill="1B3564" w:val="clear"/>
        <w:spacing w:after="0" w:before="14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ISO 50001:2018 | ISO 50006:2014 | ISO 50015:2014 | ISO 50002:2014 | ISO 50047:2016</w:t>
      </w:r>
    </w:p>
    <w:p>
      <w:pPr>
        <w:shd w:fill="1B3564" w:val="clear"/>
        <w:spacing w:after="140" w:before="0"/>
        <w:jc w:val="center"/>
      </w:pPr>
      <w:r>
        <w:rPr>
          <w:rFonts w:ascii="Arial" w:cs="Arial" w:eastAsia="Arial" w:hAnsi="Arial"/>
          <w:color w:val="A8C4E0"/>
          <w:sz w:val="18"/>
          <w:szCs w:val="18"/>
        </w:rPr>
        <w:t xml:space="preserve">Luật 50/2010/QH12, Luật 77/2025/QH15 | Nghị định 30/2026 | TT 25/2020/TT-BCT | TT 25/2020 | TT 38/2014 | QĐ 280/QĐ-TTg (VNEEP3) | NĐ 06/2022</w:t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2E5FA3" w:sz="20"/>
          <w:right w:val="single" w:color="2E5FA3" w:sz="20"/>
        </w:pBdr>
        <w:shd w:fill="EAF2FA" w:val="clear"/>
        <w:spacing w:after="0" w:before="60"/>
        <w:jc w:val="center"/>
      </w:pPr>
      <w:r>
        <w:rPr>
          <w:rFonts w:ascii="Arial" w:cs="Arial" w:eastAsia="Arial" w:hAnsi="Arial"/>
          <w:b/>
          <w:bCs/>
          <w:color w:val="2E5FA3"/>
          <w:sz w:val="17"/>
          <w:szCs w:val="17"/>
        </w:rPr>
        <w:t xml:space="preserve">ĐƠN VỊ ĐƯỢC KHẢO SÁT:</w:t>
      </w:r>
    </w:p>
    <w:p>
      <w:pPr>
        <w:pBdr>
          <w:left w:val="single" w:color="2E5FA3" w:sz="20"/>
          <w:right w:val="single" w:color="2E5FA3" w:sz="20"/>
        </w:pBdr>
        <w:shd w:fill="EAF2FA" w:val="clear"/>
        <w:spacing w:after="60" w:before="0"/>
        <w:jc w:val="center"/>
      </w:pPr>
      <w:r>
        <w:rPr>
          <w:rFonts w:ascii="Arial" w:cs="Arial" w:eastAsia="Arial" w:hAnsi="Arial"/>
          <w:b/>
          <w:bCs/>
          <w:color w:val="1B3564"/>
          <w:sz w:val="28"/>
          <w:szCs w:val="28"/>
        </w:rPr>
        <w:t xml:space="preserve">Công ty TNHH Test Export</w:t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bottom w:val="single" w:color="1B3564" w:sz="6" w:space="1"/>
        </w:pBdr>
        <w:spacing w:after="60" w:before="60"/>
      </w:pPr>
      <w:r>
        <w:t xml:space="preserve"/>
      </w:r>
    </w:p>
    <w:p>
      <w:pPr>
        <w:spacing w:after="55" w:before="55"/>
      </w:pPr>
      <w:r>
        <w:rPr>
          <w:rFonts w:ascii="Arial" w:cs="Arial" w:eastAsia="Arial" w:hAnsi="Arial"/>
          <w:b/>
          <w:bCs/>
          <w:color w:val="1B3564"/>
          <w:sz w:val="20"/>
          <w:szCs w:val="20"/>
        </w:rPr>
        <w:t xml:space="preserve">Mã khảo sát: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GAP-TEST-2024-001</w:t>
      </w:r>
    </w:p>
    <w:p>
      <w:pPr>
        <w:spacing w:after="55" w:before="55"/>
      </w:pPr>
      <w:r>
        <w:rPr>
          <w:rFonts w:ascii="Arial" w:cs="Arial" w:eastAsia="Arial" w:hAnsi="Arial"/>
          <w:b/>
          <w:bCs/>
          <w:color w:val="1B3564"/>
          <w:sz w:val="20"/>
          <w:szCs w:val="20"/>
        </w:rPr>
        <w:t xml:space="preserve">Ngày khảo sát: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2024-03-15</w:t>
      </w:r>
    </w:p>
    <w:p>
      <w:pPr>
        <w:spacing w:after="55" w:before="55"/>
      </w:pPr>
      <w:r>
        <w:rPr>
          <w:rFonts w:ascii="Arial" w:cs="Arial" w:eastAsia="Arial" w:hAnsi="Arial"/>
          <w:b/>
          <w:bCs/>
          <w:color w:val="1B3564"/>
          <w:sz w:val="20"/>
          <w:szCs w:val="20"/>
        </w:rPr>
        <w:t xml:space="preserve">Phiên bản: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v1.0</w:t>
      </w:r>
    </w:p>
    <w:p>
      <w:pPr>
        <w:spacing w:after="55" w:before="55"/>
      </w:pPr>
      <w:r>
        <w:rPr>
          <w:rFonts w:ascii="Arial" w:cs="Arial" w:eastAsia="Arial" w:hAnsi="Arial"/>
          <w:b/>
          <w:bCs/>
          <w:color w:val="1B3564"/>
          <w:sz w:val="20"/>
          <w:szCs w:val="20"/>
        </w:rPr>
        <w:t xml:space="preserve">Cơ sở khảo sát: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Nhà máy 1</w:t>
      </w:r>
    </w:p>
    <w:p>
      <w:pPr>
        <w:spacing w:after="55" w:before="55"/>
      </w:pPr>
      <w:r>
        <w:rPr>
          <w:rFonts w:ascii="Arial" w:cs="Arial" w:eastAsia="Arial" w:hAnsi="Arial"/>
          <w:b/>
          <w:bCs/>
          <w:color w:val="1B3564"/>
          <w:sz w:val="20"/>
          <w:szCs w:val="20"/>
        </w:rPr>
        <w:t xml:space="preserve">Tiếp cận khảo sát: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Rủi ro | Quá trình | Nhà xưởng/Thiết bị | Điều khoản §4–§10</w:t>
      </w:r>
    </w:p>
    <w:p>
      <w:pPr>
        <w:spacing w:after="55" w:before="55"/>
      </w:pPr>
      <w:r>
        <w:rPr>
          <w:rFonts w:ascii="Arial" w:cs="Arial" w:eastAsia="Arial" w:hAnsi="Arial"/>
          <w:b/>
          <w:bCs/>
          <w:color w:val="1B3564"/>
          <w:sz w:val="20"/>
          <w:szCs w:val="20"/>
        </w:rPr>
        <w:t xml:space="preserve">Điểm GAP tổng thể: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3.3/5.0  |  97% điều khoản cần cải thiện</w:t>
      </w:r>
    </w:p>
    <w:p>
      <w:pPr>
        <w:spacing w:after="55" w:before="55"/>
      </w:pPr>
      <w:r>
        <w:rPr>
          <w:rFonts w:ascii="Arial" w:cs="Arial" w:eastAsia="Arial" w:hAnsi="Arial"/>
          <w:b/>
          <w:bCs/>
          <w:color w:val="1B3564"/>
          <w:sz w:val="20"/>
          <w:szCs w:val="20"/>
        </w:rPr>
        <w:t xml:space="preserve">Mục tiêu tư vấn: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Phân tích khoảng cách — Xây dựng &amp; đạt chứng nhận ISO 50001:2018</w:t>
      </w:r>
    </w:p>
    <w:p>
      <w:pPr>
        <w:pBdr>
          <w:bottom w:val="single" w:color="1B3564" w:sz="6" w:space="1"/>
        </w:pBdr>
        <w:spacing w:after="60" w:before="60"/>
      </w:pPr>
      <w:r>
        <w:t xml:space="preserve"/>
      </w:r>
    </w:p>
    <w:p>
      <w:r>
        <w:br w:type="page"/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5FA3" w:sz="10" w:space="2"/>
        </w:pBdr>
        <w:spacing w:after="180" w:before="36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1. TÓM TẮT ĐIỀU HÀNH (EXECUTIVE SUMMARY)</w:t>
      </w:r>
    </w:p>
    <w:p>
      <w:pPr>
        <w:shd w:fill="1A7A4A" w:val="clear"/>
        <w:spacing w:after="0" w:before="8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ĐIỂM GAP TỔNG THỂ</w:t>
      </w:r>
    </w:p>
    <w:p>
      <w:pPr>
        <w:shd w:fill="FEF3C7" w:val="clear"/>
        <w:spacing w:after="100" w:before="0"/>
        <w:jc w:val="center"/>
      </w:pPr>
      <w:r>
        <w:rPr>
          <w:rFonts w:ascii="Arial" w:cs="Arial" w:eastAsia="Arial" w:hAnsi="Arial"/>
          <w:b/>
          <w:bCs/>
          <w:color w:val="1A7A4A"/>
          <w:sz w:val="48"/>
          <w:szCs w:val="48"/>
        </w:rPr>
        <w:t xml:space="preserve">3.3 / 5.0</w:t>
      </w:r>
      <w:r>
        <w:rPr>
          <w:rFonts w:ascii="Arial" w:cs="Arial" w:eastAsia="Arial" w:hAnsi="Arial"/>
          <w:color w:val="1A7A4A"/>
          <w:sz w:val="22"/>
          <w:szCs w:val="22"/>
        </w:rPr>
        <w:t xml:space="preserve">   |   97% điều khoản cần cải thiện</w:t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1.1. Điểm GAP theo điều khoản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1300"/>
        <w:gridCol w:w="1300"/>
        <w:gridCol w:w="2560"/>
      </w:tblGrid>
      <w:tr>
        <w:trPr>
          <w:tblHeader/>
        </w:trPr>
        <w:tc>
          <w:tcPr>
            <w:tcW w:type="dxa" w:w="10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Điều khoản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Tên</w:t>
            </w:r>
          </w:p>
        </w:tc>
        <w:tc>
          <w:tcPr>
            <w:tcW w:type="dxa" w:w="13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Điểm TB</w:t>
            </w:r>
          </w:p>
        </w:tc>
        <w:tc>
          <w:tcPr>
            <w:tcW w:type="dxa" w:w="13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Mức độ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Nhận xét ưu tiên</w:t>
            </w:r>
          </w:p>
        </w:tc>
      </w:tr>
      <w:tr>
        <w:tc>
          <w:tcPr>
            <w:tcW w:type="dxa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§4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Bối cảnh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9F7E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3.5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9F7E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Phần lớn đáp ứng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7"/>
                <w:szCs w:val="17"/>
              </w:rPr>
              <w:t xml:space="preserve">✓ Tốt — duy trì và cải tiến</w:t>
            </w:r>
          </w:p>
        </w:tc>
      </w:tr>
      <w:tr>
        <w:tc>
          <w:tcPr>
            <w:tcW w:type="dxa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§5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Lãnh đạo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9F7E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4.0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9F7E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Phần lớn đáp ứng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7"/>
                <w:szCs w:val="17"/>
              </w:rPr>
              <w:t xml:space="preserve">✓ Tốt — duy trì và cải tiến</w:t>
            </w:r>
          </w:p>
        </w:tc>
      </w:tr>
      <w:tr>
        <w:tc>
          <w:tcPr>
            <w:tcW w:type="dxa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§6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Hoạch định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2"/>
                <w:szCs w:val="22"/>
              </w:rPr>
              <w:t xml:space="preserve">2.0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Mới bắt đầu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>! Cần hành động trong 3 tháng</w:t>
            </w:r>
          </w:p>
        </w:tc>
      </w:tr>
      <w:tr>
        <w:tc>
          <w:tcPr>
            <w:tcW w:type="dxa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§7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Hỗ trợ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2"/>
                <w:szCs w:val="22"/>
              </w:rPr>
              <w:t xml:space="preserve">0.0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6"/>
                <w:szCs w:val="16"/>
              </w:rPr>
              <w:t xml:space="preserve">N/A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7"/>
                <w:szCs w:val="17"/>
              </w:rPr>
              <w:t xml:space="preserve">⚠ Khoảng cách nghiêm trọng — ưu tiên ngay</w:t>
            </w:r>
          </w:p>
        </w:tc>
      </w:tr>
      <w:tr>
        <w:tc>
          <w:tcPr>
            <w:tcW w:type="dxa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§8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Vận hành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2"/>
                <w:szCs w:val="22"/>
              </w:rPr>
              <w:t xml:space="preserve">0.0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6"/>
                <w:szCs w:val="16"/>
              </w:rPr>
              <w:t xml:space="preserve">N/A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7"/>
                <w:szCs w:val="17"/>
              </w:rPr>
              <w:t xml:space="preserve">⚠ Khoảng cách nghiêm trọng — ưu tiên ngay</w:t>
            </w:r>
          </w:p>
        </w:tc>
      </w:tr>
      <w:tr>
        <w:tc>
          <w:tcPr>
            <w:tcW w:type="dxa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§9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Đánh giá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2"/>
                <w:szCs w:val="22"/>
              </w:rPr>
              <w:t xml:space="preserve">0.0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6"/>
                <w:szCs w:val="16"/>
              </w:rPr>
              <w:t xml:space="preserve">N/A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7"/>
                <w:szCs w:val="17"/>
              </w:rPr>
              <w:t xml:space="preserve">⚠ Khoảng cách nghiêm trọng — ưu tiên ngay</w:t>
            </w:r>
          </w:p>
        </w:tc>
      </w:tr>
      <w:tr>
        <w:tc>
          <w:tcPr>
            <w:tcW w:type="dxa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§10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Cải tiến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2"/>
                <w:szCs w:val="22"/>
              </w:rPr>
              <w:t xml:space="preserve">0.0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6"/>
                <w:szCs w:val="16"/>
              </w:rPr>
              <w:t xml:space="preserve">N/A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7"/>
                <w:szCs w:val="17"/>
              </w:rPr>
              <w:t xml:space="preserve">⚠ Khoảng cách nghiêm trọng — ưu tiên ngay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1.2. Thống kê tổng hợp khoảng cách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8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Hạng mục khoảng cách</w:t>
            </w:r>
          </w:p>
        </w:tc>
        <w:tc>
          <w:tcPr>
            <w:tcW w:type="dxa" w:w="1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Số lượng</w:t>
            </w:r>
          </w:p>
        </w:tc>
        <w:tc>
          <w:tcPr>
            <w:tcW w:type="dxa" w:w="2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Khuyến nghị</w:t>
            </w:r>
          </w:p>
        </w:tc>
      </w:tr>
      <w:tr>
        <w:tc>
          <w:tcPr>
            <w:tcW w:type="dxa" w:w="2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Nghiêm trọng (Score 1)</w:t>
            </w:r>
          </w:p>
        </w:tc>
        <w:tc>
          <w:tcPr>
            <w:tcW w:type="dxa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DEDEC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0</w:t>
            </w:r>
          </w:p>
        </w:tc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Hoàn toàn chưa triển khai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Hành động ngay — Blocking certification</w:t>
            </w:r>
          </w:p>
        </w:tc>
      </w:tr>
      <w:tr>
        <w:tc>
          <w:tcPr>
            <w:tcW w:type="dxa" w:w="2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19"/>
                <w:szCs w:val="19"/>
              </w:rPr>
              <w:t xml:space="preserve">Lớn (Score 2)</w:t>
            </w:r>
          </w:p>
        </w:tc>
        <w:tc>
          <w:tcPr>
            <w:tcW w:type="dxa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4"/>
                <w:szCs w:val="24"/>
              </w:rPr>
              <w:t xml:space="preserve">1</w:t>
            </w:r>
          </w:p>
        </w:tc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Mới bắt đầu/không đầy đủ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Kế hoạch hành động trong 30-90 ngày</w:t>
            </w:r>
          </w:p>
        </w:tc>
      </w:tr>
      <w:tr>
        <w:tc>
          <w:tcPr>
            <w:tcW w:type="dxa" w:w="2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B7770D"/>
                <w:sz w:val="19"/>
                <w:szCs w:val="19"/>
              </w:rPr>
              <w:t xml:space="preserve">Nhỏ (Score 3)</w:t>
            </w:r>
          </w:p>
        </w:tc>
        <w:tc>
          <w:tcPr>
            <w:tcW w:type="dxa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EF3C7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24"/>
                <w:szCs w:val="24"/>
              </w:rPr>
              <w:t xml:space="preserve">1</w:t>
            </w:r>
          </w:p>
        </w:tc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Đang phát triển, chưa hoàn thiện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Cải thiện trong 3-6 tháng</w:t>
            </w:r>
          </w:p>
        </w:tc>
      </w:tr>
      <w:tr>
        <w:tc>
          <w:tcPr>
            <w:tcW w:type="dxa" w:w="2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Phù hợp (Score 4-5)</w:t>
            </w:r>
          </w:p>
        </w:tc>
        <w:tc>
          <w:tcPr>
            <w:tcW w:type="dxa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9F7E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24"/>
                <w:szCs w:val="24"/>
              </w:rPr>
              <w:t xml:space="preserve">2</w:t>
            </w:r>
          </w:p>
        </w:tc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Đáp ứng yêu cầu cơ bản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Duy trì và cải tiến liên tục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1.3. Nhận xét tổng quan của chuyên gia tư vấn</w:t>
      </w:r>
    </w:p>
    <w:p>
      <w:pPr>
        <w:spacing w:after="80" w:before="60" w:line="308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Nhận diện hộ tiêu thụ NL trọng điểm</w:t>
      </w:r>
    </w:p>
    <w:p>
      <w:pPr>
        <w:spacing w:after="80" w:before="60" w:line="308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Khảo sát các Trạm biến áp</w:t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10" w:space="2"/>
        </w:pBdr>
        <w:spacing w:after="180" w:before="36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2. THÔNG TIN CHUNG</w:t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2.1. Thông tin tổ chức được khảo sát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Tên tổ chức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Công ty TNHH Test Export</w:t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Tên cơ sở / Nhà máy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Nhà máy 1</w:t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Địa chỉ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123 Đường Test, Quận 1, TP.HCM</w:t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Ngành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Sản xuất</w:t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Quy mô (CBCNV)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150</w:t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NL tiêu thụ/năm (TOE)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850 TOE</w:t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Cơ sở trọng điểm?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✓ Có — bắt buộc EnMS theo Nghị định 30/2026</w:t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Tình trạng chứng nhận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Chưa có chứng nhận ISO 50001</w:t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Cơ cấu tổ chức (số phòng ban)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2.2. Thông tin đoàn khảo sát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Đơn vị tư vấn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Đơn vị Tư vấn Test</w:t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Trưởng đoàn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Nguyễn Văn A</w:t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Thành viên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Đoàn khảo sát GAP</w:t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Chứng chỉ EA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Ngày khảo sát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2024-03-15</w:t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Mục tiêu khảo sát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Phân tích khoảng cách — Xây dựng &amp; đạt chứng nhận ISO 50001:2018</w:t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Phương pháp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Phỏng vấn | Xem xét tài liệu | Quan sát thực địa | Đo lường tại SEU</w:t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Tiêu chuẩn áp dụng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ISO 50001:2018; ISO 50006:2014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10" w:space="2"/>
        </w:pBdr>
        <w:spacing w:after="180" w:before="36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3. ĐÁNH GIÁ §4 — BỐI CẢNH TỔ CHỨC</w:t>
      </w:r>
    </w:p>
    <w:p>
      <w:pPr>
        <w:shd w:fill="E9F7EF" w:val="clear"/>
        <w:spacing w:after="80" w:before="60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ĐIỂM TỔNG KHOẢN: </w:t>
      </w: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3.5</w:t>
      </w:r>
      <w:r>
        <w:rPr>
          <w:rFonts w:ascii="Arial" w:cs="Arial" w:eastAsia="Arial" w:hAnsi="Arial"/>
          <w:color w:val="1A7A4A"/>
          <w:sz w:val="20"/>
          <w:szCs w:val="20"/>
        </w:rPr>
        <w:t xml:space="preserve"> / 5.0  |  Phần lớn đáp ứng</w:t>
      </w:r>
      <w:r>
        <w:rPr>
          <w:rFonts w:ascii="Arial" w:cs="Arial" w:eastAsia="Arial" w:hAnsi="Arial"/>
          <w:color w:val="6C757D"/>
          <w:sz w:val="18"/>
          <w:szCs w:val="18"/>
        </w:rPr>
        <w:t xml:space="preserve">  |  10 khoảng cách cần ưu tiên</w:t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B7770D" w:sz="18" w:space="3"/>
        </w:pBdr>
        <w:shd w:fill="FEF3C7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B7770D"/>
          <w:sz w:val="20"/>
          <w:szCs w:val="20"/>
        </w:rPr>
        <w:t xml:space="preserve">  4.1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Hiểu biết về tổ chức và bối cảnh</w:t>
      </w:r>
      <w:r>
        <w:rPr>
          <w:rFonts w:ascii="Arial" w:cs="Arial" w:eastAsia="Arial" w:hAnsi="Arial"/>
          <w:b/>
          <w:bCs/>
          <w:color w:val="B7770D"/>
          <w:sz w:val="17"/>
          <w:szCs w:val="17"/>
        </w:rPr>
        <w:t xml:space="preserve">   [Điểm: 3.0/5.0 — Đang phát triển]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4.1.1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Xác định vấn đề bên trong ảnh hưởng đến EnMS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[Luật 50/2010/QH12, Luật 77/2025/QH15]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EF3C7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7"/>
                <w:szCs w:val="17"/>
              </w:rPr>
              <w:t xml:space="preserve">Đang phát triển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Đã xác định.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4.1.2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Xác định vấn đề bên ngoài ảnh hưởng đến EnMS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4.1.3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Xem xét định kỳ bối cảnh (ít nhất mỗi xem xét lãnh đạo)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0D7377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5"/>
                <w:szCs w:val="15"/>
              </w:rPr>
              <w:t xml:space="preserve">🟢 Cơ bản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1A7A4A" w:sz="18" w:space="3"/>
        </w:pBdr>
        <w:shd w:fill="E9F7EF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1A7A4A"/>
          <w:sz w:val="20"/>
          <w:szCs w:val="20"/>
        </w:rPr>
        <w:t xml:space="preserve">  4.2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Các bên liên quan</w:t>
      </w:r>
      <w:r>
        <w:rPr>
          <w:rFonts w:ascii="Arial" w:cs="Arial" w:eastAsia="Arial" w:hAnsi="Arial"/>
          <w:b/>
          <w:bCs/>
          <w:color w:val="1A7A4A"/>
          <w:sz w:val="17"/>
          <w:szCs w:val="17"/>
        </w:rPr>
        <w:t xml:space="preserve">   [Điểm: 4.0/5.0 — Phần lớn đáp ứng]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4.2.1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Xác định danh sách các bên liên quan đến EnMS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 §4]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4.2.2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Xác định yêu cầu pháp lý áp dụng và cam kết khác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[Luật 50/2010/QH12, Luật 77/2025/QH15; Nghị định 30/2026]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⚖️ Pháp lý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9F7E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Phần lớn đáp ứng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Đáp ứng.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4.2.3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Cập nhật danh sách yêu cầu pháp lý định kỳ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 §4]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4.2.5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Xác định có thuộc hộ tiêu thụ NL trọng điểm Quốc gia (Nghị định 30/2026) hay không và nghĩa vụ pháp lý tương ứng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[Nghị định 30/2026; Luật 50/2010/QH12, Luật 77/2025/QH15]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⚖️ Pháp lý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4.3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Phạm vi EnMS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4.3.1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Phạm vi EnMS được lập thành văn bản rõ ràng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 §5]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4.3.2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Ranh giới vật lý và địa lý được xác định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4.3.3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Các loại năng lượng trong phạm vi được liệt kê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4.4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Hệ thống EnMS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4.4.1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EnMS được thiết lập theo yêu cầu ISO 50001:2018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 §6]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4.4.2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EnMS được tích hợp vào quá trình kinh doanh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3.6. Kế hoạch hành động khắc phục khoảng cách — §4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900"/>
        <w:gridCol w:w="2800"/>
        <w:gridCol w:w="1000"/>
        <w:gridCol w:w="9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0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2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Đề xuất hành động</w:t>
            </w:r>
          </w:p>
        </w:tc>
        <w:tc>
          <w:tcPr>
            <w:tcW w:type="dxa" w:w="10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  <w:tc>
          <w:tcPr>
            <w:tcW w:type="dxa" w:w="9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Ưu tiên</w:t>
            </w:r>
          </w:p>
        </w:tc>
      </w:tr>
      <w:tr>
        <w:tc>
          <w:tcPr>
            <w:tcW w:type="auto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4.1.1</w:t>
            </w:r>
          </w:p>
        </w:tc>
        <w:tc>
          <w:tcPr>
            <w:tcW w:type="auto" w:w="3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Xác định vấn đề bên trong ảnh hưởng đến EnMS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EF3C7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Đang phát triển</w:t>
            </w:r>
          </w:p>
        </w:tc>
        <w:tc>
          <w:tcPr>
            <w:tcW w:type="auto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Cải thiện và chuẩn hóa: "Xác định vấn đề bên trong ảnh hưởng đến EnMS". Xem xét trong chu kỳ cải tiến tiếp theo (6 tháng).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6"/>
                <w:szCs w:val="16"/>
              </w:rPr>
              <w:t xml:space="preserve">180 ngày</w:t>
            </w:r>
          </w:p>
        </w:tc>
        <w:tc>
          <w:tcPr>
            <w:tcW w:type="auto" w:w="9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🟢 6T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10" w:space="2"/>
        </w:pBdr>
        <w:spacing w:after="180" w:before="36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4. ĐÁNH GIÁ §5 — LÃNH ĐẠO</w:t>
      </w:r>
    </w:p>
    <w:p>
      <w:pPr>
        <w:shd w:fill="E9F7EF" w:val="clear"/>
        <w:spacing w:after="80" w:before="60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ĐIỂM TỔNG KHOẢN: </w:t>
      </w: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4.0</w:t>
      </w:r>
      <w:r>
        <w:rPr>
          <w:rFonts w:ascii="Arial" w:cs="Arial" w:eastAsia="Arial" w:hAnsi="Arial"/>
          <w:color w:val="1A7A4A"/>
          <w:sz w:val="20"/>
          <w:szCs w:val="20"/>
        </w:rPr>
        <w:t xml:space="preserve"> / 5.0  |  Phần lớn đáp ứng</w:t>
      </w:r>
      <w:r>
        <w:rPr>
          <w:rFonts w:ascii="Arial" w:cs="Arial" w:eastAsia="Arial" w:hAnsi="Arial"/>
          <w:color w:val="6C757D"/>
          <w:sz w:val="18"/>
          <w:szCs w:val="18"/>
        </w:rPr>
        <w:t xml:space="preserve">  |  12 khoảng cách cần ưu tiên</w:t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1A7A4A" w:sz="18" w:space="3"/>
        </w:pBdr>
        <w:shd w:fill="E9F7EF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1A7A4A"/>
          <w:sz w:val="20"/>
          <w:szCs w:val="20"/>
        </w:rPr>
        <w:t xml:space="preserve">  5.1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Lãnh đạo và cam kết</w:t>
      </w:r>
      <w:r>
        <w:rPr>
          <w:rFonts w:ascii="Arial" w:cs="Arial" w:eastAsia="Arial" w:hAnsi="Arial"/>
          <w:b/>
          <w:bCs/>
          <w:color w:val="1A7A4A"/>
          <w:sz w:val="17"/>
          <w:szCs w:val="17"/>
        </w:rPr>
        <w:t xml:space="preserve">   [Điểm: 4.0/5.0 — Phần lớn đáp ứng]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5.1.1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Lãnh đạo cao nhất cam kết bằng văn bản với EnMS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 §6]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👥 Lãnh đạo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9F7E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Phần lớn đáp ứng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5.1.2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Ngân sách / nguồn lực tài chính cho EnMS được phê duyệt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[Nghị định 30/2026]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👥 Lãnh đạo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5.1.3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Lãnh đạo hỗ trợ các vai trò quản lý năng lượng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👥 Lãnh đạo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5.1.4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Lãnh đạo thúc đẩy cải tiến liên tục hiệu quả năng lượng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👥 Lãnh đạo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5.2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Chính sách năng lượng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5.2.1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Chính sách năng lượng được ban hành bởi lãnh đạo cao nhất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 §6]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5.2.2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Chính sách cam kết cải tiến liên tục hiệu quả NL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5.2.3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Chính sách cam kết đáp ứng yêu cầu pháp lý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[Luật 50/2010/QH12, Luật 77/2025/QH15]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5.2.4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Chính sách được truyền đạt đến toàn bộ nhân viên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5.2.5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Chính sách được phổ biến cho các nhà thầu liên quan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5.3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Vai trò và trách nhiệm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5.3.1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EMR (Energy Management Representative) được bổ nhiệm bằng văn bản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 §7; TT 38/2014]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5.3.2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Nhóm quản lý năng lượng được thành lập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 §7]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5.3.3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Vai trò, trách nhiệm được lập thành tài liệu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5.3.5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Có vị trí Người quản lý năng lượng (EMR) theo quy định Luật 50/2010/QH12, Luật 77/2025/QH15 và TT 38/2014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[Luật 50/2010/QH12, Luật 77/2025/QH15; TT 38/2014]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⚖️ Pháp lý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10" w:space="2"/>
        </w:pBdr>
        <w:spacing w:after="180" w:before="36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5. ĐÁNH GIÁ §6 — HOẠCH ĐỊNH</w:t>
      </w:r>
    </w:p>
    <w:p>
      <w:pPr>
        <w:shd w:fill="FEF9E7" w:val="clear"/>
        <w:spacing w:after="80" w:before="60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ĐIỂM TỔNG KHOẢN: </w:t>
      </w:r>
      <w:r>
        <w:rPr>
          <w:rFonts w:ascii="Arial" w:cs="Arial" w:eastAsia="Arial" w:hAnsi="Arial"/>
          <w:b/>
          <w:bCs/>
          <w:color w:val="D35400"/>
          <w:sz w:val="26"/>
          <w:szCs w:val="26"/>
        </w:rPr>
        <w:t xml:space="preserve">2.0</w:t>
      </w:r>
      <w:r>
        <w:rPr>
          <w:rFonts w:ascii="Arial" w:cs="Arial" w:eastAsia="Arial" w:hAnsi="Arial"/>
          <w:color w:val="D35400"/>
          <w:sz w:val="20"/>
          <w:szCs w:val="20"/>
        </w:rPr>
        <w:t xml:space="preserve"> / 5.0  |  Mới bắt đầu</w:t>
      </w:r>
      <w:r>
        <w:rPr>
          <w:rFonts w:ascii="Arial" w:cs="Arial" w:eastAsia="Arial" w:hAnsi="Arial"/>
          <w:color w:val="6C757D"/>
          <w:sz w:val="18"/>
          <w:szCs w:val="18"/>
        </w:rPr>
        <w:t xml:space="preserve">  |  24 khoảng cách cần ưu tiên</w:t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6.1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Rủi ro và cơ hội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6.1.1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Rủi ro và cơ hội của EnMS được xác định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6.1.2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Kế hoạch hành động giải quyết rủi ro được lập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6.2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Mục tiêu NL và kế hoạch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6.2.1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Mục tiêu năng lượng được thiết lập (đo lường được, có thời hạn)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 §9; QĐ 280/QĐ-TTg]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6.2.2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Kế hoạch hành động chi tiết để đạt mục tiêu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6.2.3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Nguồn lực, người chịu TN và thời hạn được xác định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D35400" w:sz="18" w:space="3"/>
        </w:pBdr>
        <w:shd w:fill="FEF9E7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D35400"/>
          <w:sz w:val="20"/>
          <w:szCs w:val="20"/>
        </w:rPr>
        <w:t xml:space="preserve">  6.3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Rà soát năng lượng</w:t>
      </w:r>
      <w:r>
        <w:rPr>
          <w:rFonts w:ascii="Arial" w:cs="Arial" w:eastAsia="Arial" w:hAnsi="Arial"/>
          <w:b/>
          <w:bCs/>
          <w:color w:val="D35400"/>
          <w:sz w:val="17"/>
          <w:szCs w:val="17"/>
        </w:rPr>
        <w:t xml:space="preserve">   [Điểm: 2.0/5.0 — Mới bắt đầu]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6.3.1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Rà soát năng lượng dựa trên dữ liệu đo thực tế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 §5; TT 25/2020/TT-BCT §8]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7"/>
                <w:szCs w:val="17"/>
              </w:rPr>
              <w:t xml:space="preserve">Mới bắt đầu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Cần bổ sung dữ liệu đo.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6.3.2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SEU (Significant Energy Uses) được xác định và lập thành tài liệu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 §8]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6.3.3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Cơ hội cải tiến hiệu quả NL được xác định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6.3.4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Biến tĩnh (static variables) ảnh hưởng đến NL được phân tích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6.3.5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Rà soát năng lượng được cập nhật định kỳ hoặc khi có thay đổi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6.3.8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Xác định biến liên quan ảnh hưởng đến tiêu thụ NL (sản lượng, thời tiết, giờ vận hành…) và lập thành văn bản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[ISO 50006:2014]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6.3.9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Thứ tự ưu tiên các cơ hội cải tiến hiệu quả NL được xác định (tiêu chí, phương pháp ưu tiên hóa)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6.4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Chỉ số EnPI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6.4.1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EnPI được thiết lập phù hợp để theo dõi EnPI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 §10]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6.4.2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Phương pháp xác định EnPI được lập thành tài liệu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[ISO 50006:2014]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6.4.3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EnPI được so sánh với EnB và phân tích xu hướng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6.5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Đường cơ sở EnB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6.5.1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EnB được thiết lập với thời kỳ cơ sở đại diện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 §9]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6.5.2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Phương pháp điều chỉnh EnB khi biến tĩnh thay đổi &gt;10%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[ISO 50006:2014 §6]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6.5.4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Chuẩn hóa dữ liệu NL theo biến ảnh hưởng (sản lượng, thời tiết) để thiết lập và so sánh EnPI/EnB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[ISO 50006:2014]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6.6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Kế hoạch thu thập dữ liệu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6.6.1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Kế hoạch thu thập dữ liệu NL được lập thành văn bản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 §11]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6.6.2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Người chịu TN và tần suất đo lường được xác định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6.6.3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Thiết bị đo lường được hiệu chuẩn theo lịch định kỳ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 §11]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6.6.4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Độ không đảm bảo đo và hồ sơ hiệu chuẩn được quản lý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6.6.5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Hiện trạng đồng hồ đo NL (số lượng, vị trí, phủ SEU/hộ tiêu thụ) được rà soát và lập văn bản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6.6.6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Kế hoạch kiểm định/hiệu chuẩn thiết bị đo (nội bộ hoặc bên ngoài), chu kỳ và đơn vị thực hiện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5.8. Kế hoạch hành động khắc phục khoảng cách — §6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900"/>
        <w:gridCol w:w="2800"/>
        <w:gridCol w:w="1000"/>
        <w:gridCol w:w="9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0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2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Đề xuất hành động</w:t>
            </w:r>
          </w:p>
        </w:tc>
        <w:tc>
          <w:tcPr>
            <w:tcW w:type="dxa" w:w="10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  <w:tc>
          <w:tcPr>
            <w:tcW w:type="dxa" w:w="9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Ưu tiên</w:t>
            </w:r>
          </w:p>
        </w:tc>
      </w:tr>
      <w:tr>
        <w:tc>
          <w:tcPr>
            <w:tcW w:type="auto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6.3.1</w:t>
            </w:r>
          </w:p>
        </w:tc>
        <w:tc>
          <w:tcPr>
            <w:tcW w:type="auto" w:w="3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Rà soát năng lượng dựa trên dữ liệu đo thực tế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5"/>
                <w:szCs w:val="15"/>
              </w:rPr>
              <w:t xml:space="preserve">Mới bắt đầu</w:t>
            </w:r>
          </w:p>
        </w:tc>
        <w:tc>
          <w:tcPr>
            <w:tcW w:type="auto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Hoàn thiện và bổ sung: "Rà soát năng lượng dựa trên dữ liệu đo thực tế". Lên kế hoạch hành động cụ thể trong 90 ngày.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6"/>
                <w:szCs w:val="16"/>
              </w:rPr>
              <w:t xml:space="preserve">90 ngày</w:t>
            </w:r>
          </w:p>
        </w:tc>
        <w:tc>
          <w:tcPr>
            <w:tcW w:type="auto" w:w="9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D35400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5"/>
                <w:szCs w:val="15"/>
              </w:rPr>
              <w:t xml:space="preserve">🟡 3T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10" w:space="2"/>
        </w:pBdr>
        <w:spacing w:after="180" w:before="36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6. ĐÁNH GIÁ §7 — HỖ TRỢ</w:t>
      </w:r>
    </w:p>
    <w:p>
      <w:pPr>
        <w:shd w:fill="F4F6F8" w:val="clear"/>
        <w:spacing w:after="80" w:before="60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ĐIỂM TỔNG KHOẢN: </w:t>
      </w:r>
      <w:r>
        <w:rPr>
          <w:rFonts w:ascii="Arial" w:cs="Arial" w:eastAsia="Arial" w:hAnsi="Arial"/>
          <w:b/>
          <w:bCs/>
          <w:color w:val="ADB5BD"/>
          <w:sz w:val="26"/>
          <w:szCs w:val="26"/>
        </w:rPr>
        <w:t xml:space="preserve">0.0</w:t>
      </w:r>
      <w:r>
        <w:rPr>
          <w:rFonts w:ascii="Arial" w:cs="Arial" w:eastAsia="Arial" w:hAnsi="Arial"/>
          <w:color w:val="ADB5BD"/>
          <w:sz w:val="20"/>
          <w:szCs w:val="20"/>
        </w:rPr>
        <w:t xml:space="preserve"> / 5.0  |  N/A</w:t>
      </w:r>
      <w:r>
        <w:rPr>
          <w:rFonts w:ascii="Arial" w:cs="Arial" w:eastAsia="Arial" w:hAnsi="Arial"/>
          <w:color w:val="6C757D"/>
          <w:sz w:val="18"/>
          <w:szCs w:val="18"/>
        </w:rPr>
        <w:t xml:space="preserve">  |  11 khoảng cách cần ưu tiên</w:t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7.1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Nguồn lực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7.1.1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Nguồn lực cho EnMS được xác định và cung cấp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[Nghị định 30/2026]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👥 Lãnh đạo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7.1.2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Cơ sở hạ tầng đo lường (đồng hồ, phần mềm) và công cụ quản lý NL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7.1.3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Công cụ và thiết bị phục vụ kiểm tra, bảo trì bảo dưỡng (dụng cụ đo, phần mềm PM, phụ tùng cơ bản) được xác định và sẵn có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7.2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Năng lực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7.2.1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Năng lực yêu cầu cho các vị trí ảnh hưởng EnPI được xác định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38/2014 §5]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7.2.2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Kế hoạch đào tạo nhân viên liên quan đến EnMS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38/2014 §6]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7.2.3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Hồ sơ năng lực và đào tạo được lưu trữ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38/2014 §8]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0D7377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5"/>
                <w:szCs w:val="15"/>
              </w:rPr>
              <w:t xml:space="preserve">🟢 Cơ bản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7.3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Nhận thức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7.3.1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Nhân viên nhận thức được chính sách năng lượng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7.3.2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Nhân viên hiểu đóng góp cá nhân đến tiêu thụ NL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7.4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Trao đổi thông tin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7.4.1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Quy trình trao đổi thông tin nội bộ về EnMS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 §14]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0D7377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5"/>
                <w:szCs w:val="15"/>
              </w:rPr>
              <w:t xml:space="preserve">🟢 Cơ bản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7.5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Thông tin dạng văn bản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7.5.1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Tài liệu bắt buộc theo ISO 50001 đầy đủ và được kiểm soát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 §15]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7.5.2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Hồ sơ được lưu trữ và bảo mật theo quy định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10" w:space="2"/>
        </w:pBdr>
        <w:spacing w:after="180" w:before="36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7. ĐÁNH GIÁ §8 — VẬN HÀNH</w:t>
      </w:r>
    </w:p>
    <w:p>
      <w:pPr>
        <w:shd w:fill="F4F6F8" w:val="clear"/>
        <w:spacing w:after="80" w:before="60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ĐIỂM TỔNG KHOẢN: </w:t>
      </w:r>
      <w:r>
        <w:rPr>
          <w:rFonts w:ascii="Arial" w:cs="Arial" w:eastAsia="Arial" w:hAnsi="Arial"/>
          <w:b/>
          <w:bCs/>
          <w:color w:val="ADB5BD"/>
          <w:sz w:val="26"/>
          <w:szCs w:val="26"/>
        </w:rPr>
        <w:t xml:space="preserve">0.0</w:t>
      </w:r>
      <w:r>
        <w:rPr>
          <w:rFonts w:ascii="Arial" w:cs="Arial" w:eastAsia="Arial" w:hAnsi="Arial"/>
          <w:color w:val="ADB5BD"/>
          <w:sz w:val="20"/>
          <w:szCs w:val="20"/>
        </w:rPr>
        <w:t xml:space="preserve"> / 5.0  |  N/A</w:t>
      </w:r>
      <w:r>
        <w:rPr>
          <w:rFonts w:ascii="Arial" w:cs="Arial" w:eastAsia="Arial" w:hAnsi="Arial"/>
          <w:color w:val="6C757D"/>
          <w:sz w:val="18"/>
          <w:szCs w:val="18"/>
        </w:rPr>
        <w:t xml:space="preserve">  |  11 khoảng cách cần ưu tiên</w:t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8.1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Kiểm soát vận hành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8.1.1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Tiêu chí vận hành cho các SEU được thiết lập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 §16]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8.1.2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Kiểm soát vận hành được thực hiện (SOP, check-list)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8.1.3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Yêu cầu NL được truyền đạt cho nhà thầu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8.1.4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Kế hoạch bảo trì và xử lý tình huống bất thường tại SEU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8.1.5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Checklist kiểm tra vận hành/định kỳ cho SEU và thiết bị tiêu thụ NL được lập và sử dụng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8.1.6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SOP hoặc tiêu chuẩn công đoạn có xác định các yếu tố ảnh hưởng đến NL (nhiệt độ, áp suất, thời gian chạy, tải…)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8.1.7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Kế hoạch bảo trì bảo dưỡng định kỳ (PM) cho thiết bị tiêu thụ NL được lập và thực hiện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8.1.8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Tình trạng kho vật tư dự phòng (phụ tùng, vật tư thay thế) cho thiết bị NL được quản lý, tránh dừng máy kéo dài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8.2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Thiết kế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8.2.1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Hiệu quả NL được xem xét trong thiết kế/sửa đổi thiết bị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[Luật 50/2010/QH12, Luật 77/2025/QH15]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8.3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Mua sắm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8.3.1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Tiêu chí NL trong đánh giá nhà cung cấp thiết bị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36/2016 Nhãn NL]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8.3.2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Ưu tiên thiết bị có nhãn năng lượng 4-5 sao hoặc MEPS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36/2016; QĐ 2395/QĐ-BCT]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10" w:space="2"/>
        </w:pBdr>
        <w:spacing w:after="180" w:before="36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8. ĐÁNH GIÁ §9 — ĐÁNH GIÁ KẾT QUẢ THỰC HIỆN</w:t>
      </w:r>
    </w:p>
    <w:p>
      <w:pPr>
        <w:shd w:fill="F4F6F8" w:val="clear"/>
        <w:spacing w:after="80" w:before="60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ĐIỂM TỔNG KHOẢN: </w:t>
      </w:r>
      <w:r>
        <w:rPr>
          <w:rFonts w:ascii="Arial" w:cs="Arial" w:eastAsia="Arial" w:hAnsi="Arial"/>
          <w:b/>
          <w:bCs/>
          <w:color w:val="ADB5BD"/>
          <w:sz w:val="26"/>
          <w:szCs w:val="26"/>
        </w:rPr>
        <w:t xml:space="preserve">0.0</w:t>
      </w:r>
      <w:r>
        <w:rPr>
          <w:rFonts w:ascii="Arial" w:cs="Arial" w:eastAsia="Arial" w:hAnsi="Arial"/>
          <w:color w:val="ADB5BD"/>
          <w:sz w:val="20"/>
          <w:szCs w:val="20"/>
        </w:rPr>
        <w:t xml:space="preserve"> / 5.0  |  N/A</w:t>
      </w:r>
      <w:r>
        <w:rPr>
          <w:rFonts w:ascii="Arial" w:cs="Arial" w:eastAsia="Arial" w:hAnsi="Arial"/>
          <w:color w:val="6C757D"/>
          <w:sz w:val="18"/>
          <w:szCs w:val="18"/>
        </w:rPr>
        <w:t xml:space="preserve">  |  13 khoảng cách cần ưu tiên</w:t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9.1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Theo dõi và đo lường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9.1.1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Theo dõi EnPI định kỳ và ghi nhận kết quả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 §18; TT 25/2020]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9.1.2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 sánh EnPI với EnB và phân tích xu hướng cải tiến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[ISO 50006:2014]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9.1.3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Báo cáo sử dụng NL hàng năm nộp cho cơ quan quản lý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25/2020/TT-BCT; Nghị định 30/2026]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⚖️ Pháp lý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9.1.4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Thiết bị đo lường được hiệu chuẩn và ghi nhận sai số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9.1.5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Phân tích và đánh giá kết quả theo dõi EnPI, mục tiêu và tuân thủ pháp lý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9.1.6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Theo dõi thời hạn nộp báo cáo NL, chu kỳ kiểm toán NL (3 năm) — pháp lý VN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25/2020/TT-BCT; Nghị định 30/2026]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⚖️ Pháp lý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9.1.7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Hồ sơ kiểm định/hiệu chuẩn (nội bộ hoặc bên ngoài) được lưu trữ và theo dõi chu kỳ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9.1.8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Kiểm toán năng lượng định kỳ (chu kỳ 3 năm) được thực hiện và lưu hồ sơ — pháp lý VN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25/2020; Nghị định 30/2026]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⚖️ Pháp lý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9.2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Đánh giá nội bộ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9.2.1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Chương trình đánh giá nội bộ EnMS hàng năm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[ISO 50003:2014]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9.2.2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Đánh giá viên nội bộ có năng lực và độc lập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9.2.3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Kết quả đánh giá nội bộ được báo cáo cho lãnh đạo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9.3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Xem xét lãnh đạo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9.3.1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Xem xét lãnh đạo được thực hiện định kỳ (ít nhất 1 lần/năm)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 §20]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👥 Lãnh đạo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9.3.2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Đầu ra xem xét lãnh đạo được lập thành hồ sơ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10" w:space="2"/>
        </w:pBdr>
        <w:spacing w:after="180" w:before="36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9. ĐÁNH GIÁ §10 — CẢI TIẾN</w:t>
      </w:r>
    </w:p>
    <w:p>
      <w:pPr>
        <w:shd w:fill="F4F6F8" w:val="clear"/>
        <w:spacing w:after="80" w:before="60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ĐIỂM TỔNG KHOẢN: </w:t>
      </w:r>
      <w:r>
        <w:rPr>
          <w:rFonts w:ascii="Arial" w:cs="Arial" w:eastAsia="Arial" w:hAnsi="Arial"/>
          <w:b/>
          <w:bCs/>
          <w:color w:val="ADB5BD"/>
          <w:sz w:val="26"/>
          <w:szCs w:val="26"/>
        </w:rPr>
        <w:t xml:space="preserve">0.0</w:t>
      </w:r>
      <w:r>
        <w:rPr>
          <w:rFonts w:ascii="Arial" w:cs="Arial" w:eastAsia="Arial" w:hAnsi="Arial"/>
          <w:color w:val="ADB5BD"/>
          <w:sz w:val="20"/>
          <w:szCs w:val="20"/>
        </w:rPr>
        <w:t xml:space="preserve"> / 5.0  |  N/A</w:t>
      </w:r>
      <w:r>
        <w:rPr>
          <w:rFonts w:ascii="Arial" w:cs="Arial" w:eastAsia="Arial" w:hAnsi="Arial"/>
          <w:color w:val="6C757D"/>
          <w:sz w:val="18"/>
          <w:szCs w:val="18"/>
        </w:rPr>
        <w:t xml:space="preserve">  |  4 khoảng cách cần ưu tiên</w:t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10.1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Không phù hợp và CAR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10.1.1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Quy trình xử lý sự không phù hợp và hành động khắc phục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10.1.2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Hồ sơ NC và CAR được lưu trữ đầy đủ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10.2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Cải tiến liên tục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10.2.1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Cải tiến liên tục EnMS và hiệu quả NL được chứng minh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[QĐ 280/QĐ-TTg VNEEP3]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10.2.2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Xu hướng cải tiến EnPI được ghi nhận qua ít nhất 2 kỳ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[ISO 50021:2019]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10" w:space="2"/>
        </w:pBdr>
        <w:spacing w:after="180" w:before="36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10. ĐÁNH GIÁ RỦI RO THEO CÁCH TIẾP CẬN RỦI RO (Risk-Based Approach)</w:t>
      </w:r>
    </w:p>
    <w:p>
      <w:pPr>
        <w:spacing w:after="120" w:before="60" w:line="29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Đánh giá rủi ro theo ISO 50001:2018 §6.1 — Xác định rủi ro và cơ hội ảnh hưởng đến EnMS và khả năng đạt chứng nhận. Mức độ rủi ro = Khả năng xảy ra × Mức độ ảnh hưởng (thang 1–5).</w:t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10.1. Thang đánh giá rủi 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400"/>
        <w:gridCol w:w="4560"/>
      </w:tblGrid>
      <w:tr>
        <w:trPr>
          <w:tblHeader/>
        </w:trPr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Khả năng (L)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Ảnh hưởng (I)</w:t>
            </w:r>
          </w:p>
        </w:tc>
        <w:tc>
          <w:tcPr>
            <w:tcW w:type="dxa" w:w="24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 × I</w:t>
            </w:r>
          </w:p>
        </w:tc>
        <w:tc>
          <w:tcPr>
            <w:tcW w:type="dxa" w:w="4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Mức độ rủi ro</w:t>
            </w:r>
          </w:p>
        </w:tc>
      </w:tr>
      <w:tr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1–2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1–2</w:t>
            </w:r>
          </w:p>
        </w:tc>
        <w:tc>
          <w:tcPr>
            <w:tcW w:type="auto" w:w="2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1A7A4A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1–4</w:t>
            </w:r>
          </w:p>
        </w:tc>
        <w:tc>
          <w:tcPr>
            <w:tcW w:type="auto" w:w="4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🟢 THẤP — Chấp nhận được, theo dõi định kỳ</w:t>
            </w:r>
          </w:p>
        </w:tc>
      </w:tr>
      <w:tr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8"/>
                <w:szCs w:val="18"/>
              </w:rPr>
              <w:t xml:space="preserve">1–3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8"/>
                <w:szCs w:val="18"/>
              </w:rPr>
              <w:t xml:space="preserve">2–3</w:t>
            </w:r>
          </w:p>
        </w:tc>
        <w:tc>
          <w:tcPr>
            <w:tcW w:type="auto" w:w="2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20"/>
                <w:szCs w:val="20"/>
              </w:rPr>
              <w:t xml:space="preserve">5–8</w:t>
            </w:r>
          </w:p>
        </w:tc>
        <w:tc>
          <w:tcPr>
            <w:tcW w:type="auto" w:w="4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7770D"/>
                <w:sz w:val="18"/>
                <w:szCs w:val="18"/>
              </w:rPr>
              <w:t xml:space="preserve">🟡 TRUNG BÌNH — Cần kiểm soát, lập kế hoạch</w:t>
            </w:r>
          </w:p>
        </w:tc>
      </w:tr>
      <w:tr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2–4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3–4</w:t>
            </w:r>
          </w:p>
        </w:tc>
        <w:tc>
          <w:tcPr>
            <w:tcW w:type="auto" w:w="2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D35400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9–15</w:t>
            </w:r>
          </w:p>
        </w:tc>
        <w:tc>
          <w:tcPr>
            <w:tcW w:type="auto" w:w="4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8"/>
                <w:szCs w:val="18"/>
              </w:rPr>
              <w:t xml:space="preserve">🟠 CAO — Hành động trong 3 tháng, giao người phụ trách</w:t>
            </w:r>
          </w:p>
        </w:tc>
      </w:tr>
      <w:tr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4–5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4–5</w:t>
            </w:r>
          </w:p>
        </w:tc>
        <w:tc>
          <w:tcPr>
            <w:tcW w:type="auto" w:w="2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16–25</w:t>
            </w:r>
          </w:p>
        </w:tc>
        <w:tc>
          <w:tcPr>
            <w:tcW w:type="auto" w:w="4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🔴 NGHIÊM TRỌNG — Hành động ngay, report lãnh đạo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hd w:fill="C0392B" w:val="clear"/>
        <w:spacing w:after="0" w:before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RISK-LEG  Tuân thủ pháp lý &amp; Quy định  </w:t>
      </w:r>
    </w:p>
    <w:p>
      <w:pPr>
        <w:spacing w:after="60" w:before="4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4A4A4A"/>
          <w:sz w:val="19"/>
          <w:szCs w:val="19"/>
        </w:rPr>
        <w:t xml:space="preserve">Rủi ro không đáp ứng yêu cầu Luật 50/2010/QH12, Luật 77/2025/QH15, Nghị định 30/2026, TT 25/2020/TT-BCT, TT 25/2020 và các văn bản liên quan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100"/>
        <w:gridCol w:w="600"/>
        <w:gridCol w:w="600"/>
        <w:gridCol w:w="500"/>
        <w:gridCol w:w="900"/>
        <w:gridCol w:w="1600"/>
        <w:gridCol w:w="900"/>
      </w:tblGrid>
      <w:tr>
        <w:trPr>
          <w:tblHeader/>
        </w:trPr>
        <w:tc>
          <w:tcPr>
            <w:tcW w:type="dxa" w:w="5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2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 rủi ro</w:t>
            </w:r>
          </w:p>
        </w:tc>
        <w:tc>
          <w:tcPr>
            <w:tcW w:type="dxa" w:w="11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Tham chiếu</w:t>
            </w:r>
          </w:p>
        </w:tc>
        <w:tc>
          <w:tcPr>
            <w:tcW w:type="dxa" w:w="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Khả năng (L)</w:t>
            </w:r>
          </w:p>
        </w:tc>
        <w:tc>
          <w:tcPr>
            <w:tcW w:type="dxa" w:w="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Ảnh hưởng (I)</w:t>
            </w:r>
          </w:p>
        </w:tc>
        <w:tc>
          <w:tcPr>
            <w:tcW w:type="dxa" w:w="5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L×I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Mức độ</w:t>
            </w:r>
          </w:p>
        </w:tc>
        <w:tc>
          <w:tcPr>
            <w:tcW w:type="dxa" w:w="1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Biện pháp kiểm soát hiện tại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Đề xuất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RL-01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Chưa xác định cơ sở thuộc diện trọng điểm (≥1000 TOE/năm)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TT 25/2020/TT-BCT Điều 4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RL-02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Không nộp báo cáo NL hàng năm cho BCT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TT 25/2020/TT-BCT Điều 18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RL-03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Không thực hiện kiểm toán NL theo chu kỳ 3 năm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TT 25/2020 Điều 5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RL-04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EMR chưa có chứng chỉ quản lý NL theo TT 38/2014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TT 38/2014 Điều 5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RL-05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Thiết bị không đáp ứng MEPS / chưa có nhãn NL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TT 36/2016; QĐ 2395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RL-06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Không lập kế hoạch sử dụng NL và TKNL hàng năm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TT 25/2020/TT-BCT Điều 9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RL-07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Chưa đăng ký phát thải KNK theo NĐ 06/2022 (nếu ≥3000 tCO₂e)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NĐ 06/2022 Điều 6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hd w:fill="D35400" w:val="clear"/>
        <w:spacing w:after="0" w:before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RISK-OPS  Rủi ro vận hành &amp; Kỹ thuật  </w:t>
      </w:r>
    </w:p>
    <w:p>
      <w:pPr>
        <w:spacing w:after="60" w:before="4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4A4A4A"/>
          <w:sz w:val="19"/>
          <w:szCs w:val="19"/>
        </w:rPr>
        <w:t xml:space="preserve">Rủi ro từ hoạt động vận hành, thiết bị và kiểm soát quá trình tiêu thụ NL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100"/>
        <w:gridCol w:w="600"/>
        <w:gridCol w:w="600"/>
        <w:gridCol w:w="500"/>
        <w:gridCol w:w="900"/>
        <w:gridCol w:w="1600"/>
        <w:gridCol w:w="900"/>
      </w:tblGrid>
      <w:tr>
        <w:trPr>
          <w:tblHeader/>
        </w:trPr>
        <w:tc>
          <w:tcPr>
            <w:tcW w:type="dxa" w:w="5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2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 rủi ro</w:t>
            </w:r>
          </w:p>
        </w:tc>
        <w:tc>
          <w:tcPr>
            <w:tcW w:type="dxa" w:w="11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Tham chiếu</w:t>
            </w:r>
          </w:p>
        </w:tc>
        <w:tc>
          <w:tcPr>
            <w:tcW w:type="dxa" w:w="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Khả năng (L)</w:t>
            </w:r>
          </w:p>
        </w:tc>
        <w:tc>
          <w:tcPr>
            <w:tcW w:type="dxa" w:w="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Ảnh hưởng (I)</w:t>
            </w:r>
          </w:p>
        </w:tc>
        <w:tc>
          <w:tcPr>
            <w:tcW w:type="dxa" w:w="5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L×I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Mức độ</w:t>
            </w:r>
          </w:p>
        </w:tc>
        <w:tc>
          <w:tcPr>
            <w:tcW w:type="dxa" w:w="1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Biện pháp kiểm soát hiện tại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Đề xuất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RO-01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SEU vận hành ngoài dải tối ưu gây tiêu hao NL cao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§8.1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RO-02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Thiết bị lớn tuổi, hiệu suất thấp không được lên kế hoạch thay thế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§8.2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RO-03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Không kiểm soát rò rỉ hơi, khí nén, nước làm mát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§8.1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RO-04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Vận hành thiết bị không tải gây lãng phí NL đáng kể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§8.1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RO-05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Không có bảo trì dự phòng làm giảm hiệu suất thiết bị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§8.1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RO-06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Thiếu hệ thống giám sát NL real-time (SCADA/EMS)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§9.1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hd w:fill="1A7A4A" w:val="clear"/>
        <w:spacing w:after="0" w:before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RISK-DATA  Rủi ro dữ liệu &amp; Đo lường  </w:t>
      </w:r>
    </w:p>
    <w:p>
      <w:pPr>
        <w:spacing w:after="60" w:before="4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4A4A4A"/>
          <w:sz w:val="19"/>
          <w:szCs w:val="19"/>
        </w:rPr>
        <w:t xml:space="preserve">Rủi ro về độ tin cậy và tính đầy đủ của dữ liệu năng lượng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100"/>
        <w:gridCol w:w="600"/>
        <w:gridCol w:w="600"/>
        <w:gridCol w:w="500"/>
        <w:gridCol w:w="900"/>
        <w:gridCol w:w="1600"/>
        <w:gridCol w:w="900"/>
      </w:tblGrid>
      <w:tr>
        <w:trPr>
          <w:tblHeader/>
        </w:trPr>
        <w:tc>
          <w:tcPr>
            <w:tcW w:type="dxa" w:w="5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2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 rủi ro</w:t>
            </w:r>
          </w:p>
        </w:tc>
        <w:tc>
          <w:tcPr>
            <w:tcW w:type="dxa" w:w="11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Tham chiếu</w:t>
            </w:r>
          </w:p>
        </w:tc>
        <w:tc>
          <w:tcPr>
            <w:tcW w:type="dxa" w:w="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Khả năng (L)</w:t>
            </w:r>
          </w:p>
        </w:tc>
        <w:tc>
          <w:tcPr>
            <w:tcW w:type="dxa" w:w="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Ảnh hưởng (I)</w:t>
            </w:r>
          </w:p>
        </w:tc>
        <w:tc>
          <w:tcPr>
            <w:tcW w:type="dxa" w:w="5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L×I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Mức độ</w:t>
            </w:r>
          </w:p>
        </w:tc>
        <w:tc>
          <w:tcPr>
            <w:tcW w:type="dxa" w:w="1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Biện pháp kiểm soát hiện tại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Đề xuất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RD-01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Đồng hồ đo điện/nhiệt chưa hiệu chuẩn hoặc hư hỏng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§6.6; §9.1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RD-02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Dữ liệu NL chỉ ở cấp nhà máy, không phân vùng SEU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§6.3; §6.6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RD-03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EnPI chưa được hiệu chỉnh theo biến sản xuất và thời tiết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50006:2014 §5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RD-04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Dữ liệu NL không đủ 12 tháng để xác lập EnB tin cậy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§6.5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RD-05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Sai số tích lũy trong tính toán tiết kiệm NL không được quản lý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50047:2016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hd w:fill="6C3483" w:val="clear"/>
        <w:spacing w:after="0" w:before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RISK-ORG  Rủi ro tổ chức &amp; Con người  </w:t>
      </w:r>
    </w:p>
    <w:p>
      <w:pPr>
        <w:spacing w:after="60" w:before="4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4A4A4A"/>
          <w:sz w:val="19"/>
          <w:szCs w:val="19"/>
        </w:rPr>
        <w:t xml:space="preserve">Rủi ro từ năng lực, nhận thức và văn hóa tiết kiệm năng lượng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100"/>
        <w:gridCol w:w="600"/>
        <w:gridCol w:w="600"/>
        <w:gridCol w:w="500"/>
        <w:gridCol w:w="900"/>
        <w:gridCol w:w="1600"/>
        <w:gridCol w:w="900"/>
      </w:tblGrid>
      <w:tr>
        <w:trPr>
          <w:tblHeader/>
        </w:trPr>
        <w:tc>
          <w:tcPr>
            <w:tcW w:type="dxa" w:w="5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2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 rủi ro</w:t>
            </w:r>
          </w:p>
        </w:tc>
        <w:tc>
          <w:tcPr>
            <w:tcW w:type="dxa" w:w="11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Tham chiếu</w:t>
            </w:r>
          </w:p>
        </w:tc>
        <w:tc>
          <w:tcPr>
            <w:tcW w:type="dxa" w:w="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Khả năng (L)</w:t>
            </w:r>
          </w:p>
        </w:tc>
        <w:tc>
          <w:tcPr>
            <w:tcW w:type="dxa" w:w="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Ảnh hưởng (I)</w:t>
            </w:r>
          </w:p>
        </w:tc>
        <w:tc>
          <w:tcPr>
            <w:tcW w:type="dxa" w:w="5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L×I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Mức độ</w:t>
            </w:r>
          </w:p>
        </w:tc>
        <w:tc>
          <w:tcPr>
            <w:tcW w:type="dxa" w:w="1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Biện pháp kiểm soát hiện tại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Đề xuất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ROG-01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Thiếu nhân sự chuyên trách quản lý NL (full-time EMR)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§5.3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ROG-02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Nhân viên vận hành thiếu kiến thức về TKNL tại SEU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§7.2; §7.3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ROG-03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Không có cơ chế khuyến khích TKNL cho nhân viên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§7.3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ROG-04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Thay đổi nhân sự chủ chốt EnMS làm gián đoạn hệ thống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§5.3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ROG-05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Nhà thầu vào làm không được truyền đạt yêu cầu EnMS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§8.1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hd w:fill="2471A3" w:val="clear"/>
        <w:spacing w:after="0" w:before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RISK-STRAT  Rủi ro chiến lược &amp; Tài chính  </w:t>
      </w:r>
    </w:p>
    <w:p>
      <w:pPr>
        <w:spacing w:after="60" w:before="4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4A4A4A"/>
          <w:sz w:val="19"/>
          <w:szCs w:val="19"/>
        </w:rPr>
        <w:t xml:space="preserve">Rủi ro về đầu tư, chi phí năng lượng và mục tiêu dài hạn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100"/>
        <w:gridCol w:w="600"/>
        <w:gridCol w:w="600"/>
        <w:gridCol w:w="500"/>
        <w:gridCol w:w="900"/>
        <w:gridCol w:w="1600"/>
        <w:gridCol w:w="900"/>
      </w:tblGrid>
      <w:tr>
        <w:trPr>
          <w:tblHeader/>
        </w:trPr>
        <w:tc>
          <w:tcPr>
            <w:tcW w:type="dxa" w:w="5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2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 rủi ro</w:t>
            </w:r>
          </w:p>
        </w:tc>
        <w:tc>
          <w:tcPr>
            <w:tcW w:type="dxa" w:w="11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Tham chiếu</w:t>
            </w:r>
          </w:p>
        </w:tc>
        <w:tc>
          <w:tcPr>
            <w:tcW w:type="dxa" w:w="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Khả năng (L)</w:t>
            </w:r>
          </w:p>
        </w:tc>
        <w:tc>
          <w:tcPr>
            <w:tcW w:type="dxa" w:w="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Ảnh hưởng (I)</w:t>
            </w:r>
          </w:p>
        </w:tc>
        <w:tc>
          <w:tcPr>
            <w:tcW w:type="dxa" w:w="5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L×I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Mức độ</w:t>
            </w:r>
          </w:p>
        </w:tc>
        <w:tc>
          <w:tcPr>
            <w:tcW w:type="dxa" w:w="1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Biện pháp kiểm soát hiện tại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Đề xuất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RS-01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Chi phí NL tăng đột biến ảnh hưởng nghiêm trọng lợi nhuận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§5.1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RS-02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Không có ngân sách cho dự án EIP ưu tiên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§5.1; §7.1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RS-03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Áp lực CBAM/EU Green Deal ảnh hưởng xuất khẩu (tương lai)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NĐ 06/2022; CBAM EU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RS-04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Mục tiêu TKNL VNEEP3 không đạt dẫn đến xử phạt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QĐ 280/QĐ-TTg; NĐ 98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10" w:space="2"/>
        </w:pBdr>
        <w:spacing w:after="180" w:before="36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11. ĐÁNH GIÁ THEO CÁCH TIẾP CẬN QUÁ TRÌNH (Process Approach)</w:t>
      </w:r>
    </w:p>
    <w:p>
      <w:pPr>
        <w:spacing w:after="120" w:before="60" w:line="29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Phân tích khoảng cách theo từng quá trình cốt lõi của EnMS dựa trên ISO 50001:2018 Phụ lục A và ISO 50004:2014, xác định đầu vào, đầu ra và tương tác giữa các quá trình.</w:t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11.1. Tổng quan khoảng cách theo quá trình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400"/>
        <w:gridCol w:w="800"/>
        <w:gridCol w:w="1200"/>
        <w:gridCol w:w="2860"/>
      </w:tblGrid>
      <w:tr>
        <w:trPr>
          <w:tblHeader/>
        </w:trPr>
        <w:tc>
          <w:tcPr>
            <w:tcW w:type="dxa" w:w="5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2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Tên quá trình</w:t>
            </w:r>
          </w:p>
        </w:tc>
        <w:tc>
          <w:tcPr>
            <w:tcW w:type="dxa" w:w="14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Người chủ sở hữu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Điểm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Mức độ</w:t>
            </w:r>
          </w:p>
        </w:tc>
        <w:tc>
          <w:tcPr>
            <w:tcW w:type="dxa" w:w="28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Nhận xét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5"/>
                <w:szCs w:val="15"/>
              </w:rPr>
              <w:t xml:space="preserve">PR-01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Lập kế hoạch NL hàng năm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EMR + Ban lãnh đạo</w:t>
            </w:r>
          </w:p>
        </w:tc>
        <w:tc>
          <w:tcPr>
            <w:tcW w:type="auto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28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đánh giá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5"/>
                <w:szCs w:val="15"/>
              </w:rPr>
              <w:t xml:space="preserve">PR-02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Rà soát năng lượng (Energy Review)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EMR + Nhóm kỹ thuật</w:t>
            </w:r>
          </w:p>
        </w:tc>
        <w:tc>
          <w:tcPr>
            <w:tcW w:type="auto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28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đánh giá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5"/>
                <w:szCs w:val="15"/>
              </w:rPr>
              <w:t xml:space="preserve">PR-03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Thiết lập và theo dõi EnPI / EnB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EMR</w:t>
            </w:r>
          </w:p>
        </w:tc>
        <w:tc>
          <w:tcPr>
            <w:tcW w:type="auto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28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đánh giá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5"/>
                <w:szCs w:val="15"/>
              </w:rPr>
              <w:t xml:space="preserve">PR-04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Kiểm soát vận hành tại SEU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Ca trưởng vận hành</w:t>
            </w:r>
          </w:p>
        </w:tc>
        <w:tc>
          <w:tcPr>
            <w:tcW w:type="auto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28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đánh giá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5"/>
                <w:szCs w:val="15"/>
              </w:rPr>
              <w:t xml:space="preserve">PR-05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Mua sắm thiết bị &amp; Dịch vụ NL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Phòng Mua hàng + Kỹ thuật</w:t>
            </w:r>
          </w:p>
        </w:tc>
        <w:tc>
          <w:tcPr>
            <w:tcW w:type="auto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28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đánh giá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5"/>
                <w:szCs w:val="15"/>
              </w:rPr>
              <w:t xml:space="preserve">PR-06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Đào tạo và nâng cao nhận thức NL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Phòng Nhân sự + EMR</w:t>
            </w:r>
          </w:p>
        </w:tc>
        <w:tc>
          <w:tcPr>
            <w:tcW w:type="auto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28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đánh giá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5"/>
                <w:szCs w:val="15"/>
              </w:rPr>
              <w:t xml:space="preserve">PR-07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Đánh giá nội bộ EnMS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Đánh giá viên nội bộ (độc lập)</w:t>
            </w:r>
          </w:p>
        </w:tc>
        <w:tc>
          <w:tcPr>
            <w:tcW w:type="auto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28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đánh giá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5"/>
                <w:szCs w:val="15"/>
              </w:rPr>
              <w:t xml:space="preserve">PR-08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Xem xét lãnh đạo (Management Review)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Lãnh đạo cao nhất</w:t>
            </w:r>
          </w:p>
        </w:tc>
        <w:tc>
          <w:tcPr>
            <w:tcW w:type="auto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28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đánh giá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5"/>
                <w:szCs w:val="15"/>
              </w:rPr>
              <w:t xml:space="preserve">PR-09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Xử lý NC và hành động khắc phục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EMR + Bộ phận liên quan</w:t>
            </w:r>
          </w:p>
        </w:tc>
        <w:tc>
          <w:tcPr>
            <w:tcW w:type="auto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28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đánh giá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11.2. Chi tiết đánh giá từng quá trình</w:t>
      </w:r>
    </w:p>
    <w:p>
      <w:pPr>
        <w:pBdr>
          <w:left w:val="single" w:color="ADB5BD" w:sz="20" w:space="3"/>
        </w:pBdr>
        <w:shd w:fill="F4F6F8" w:val="clear"/>
        <w:spacing w:after="0" w:before="13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PR-01  </w:t>
      </w:r>
      <w:r>
        <w:rPr>
          <w:rFonts w:ascii="Arial" w:cs="Arial" w:eastAsia="Arial" w:hAnsi="Arial"/>
          <w:b/>
          <w:bCs/>
          <w:color w:val="1B3564"/>
          <w:sz w:val="22"/>
          <w:szCs w:val="22"/>
        </w:rPr>
        <w:t xml:space="preserve">Lập kế hoạch NL hàng năm</w:t>
      </w:r>
      <w:r>
        <w:rPr>
          <w:rFonts w:ascii="Arial" w:cs="Arial" w:eastAsia="Arial" w:hAnsi="Arial"/>
          <w:b/>
          <w:bCs/>
          <w:color w:val="ADB5BD"/>
          <w:sz w:val="18"/>
          <w:szCs w:val="18"/>
        </w:rPr>
        <w:t xml:space="preserve">   Điểm: —/5.0</w:t>
      </w:r>
      <w:r>
        <w:rPr>
          <w:rFonts w:ascii="Arial" w:cs="Arial" w:eastAsia="Arial" w:hAnsi="Arial"/>
          <w:color w:val="6C757D"/>
          <w:sz w:val="16"/>
          <w:szCs w:val="16"/>
        </w:rPr>
        <w:t xml:space="preserve">  | Hàng năm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E8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ĐẦU VÀO (Inputs):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Dữ liệu tiêu thụ NL năm trước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Kế hoạch sản xuất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Biến động giá NL</w:t>
            </w:r>
          </w:p>
        </w:tc>
        <w:tc>
          <w:tcPr>
            <w:tcW w:type="dxa" w:w="4680"/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ĐẦU RA (Outputs):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Kế hoạch TKNL hàng năm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Ngân sách EnMS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Mục tiêu EnPI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Tham chiếu tiêu chuẩn: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6"/>
                <w:szCs w:val="16"/>
              </w:rPr>
              <w:t xml:space="preserve">ISO 50001 §6.2 | TT 25/2020/TT-BCT §9 | QĐ 280/QĐ-TTg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Phát hiện khoảng cách: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Bằng chứng thu thập: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Đề xuất hành động: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20" w:space="3"/>
        </w:pBdr>
        <w:shd w:fill="F4F6F8" w:val="clear"/>
        <w:spacing w:after="0" w:before="13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PR-02  </w:t>
      </w:r>
      <w:r>
        <w:rPr>
          <w:rFonts w:ascii="Arial" w:cs="Arial" w:eastAsia="Arial" w:hAnsi="Arial"/>
          <w:b/>
          <w:bCs/>
          <w:color w:val="1B3564"/>
          <w:sz w:val="22"/>
          <w:szCs w:val="22"/>
        </w:rPr>
        <w:t xml:space="preserve">Rà soát năng lượng (Energy Review)</w:t>
      </w:r>
      <w:r>
        <w:rPr>
          <w:rFonts w:ascii="Arial" w:cs="Arial" w:eastAsia="Arial" w:hAnsi="Arial"/>
          <w:b/>
          <w:bCs/>
          <w:color w:val="ADB5BD"/>
          <w:sz w:val="18"/>
          <w:szCs w:val="18"/>
        </w:rPr>
        <w:t xml:space="preserve">   Điểm: —/5.0</w:t>
      </w:r>
      <w:r>
        <w:rPr>
          <w:rFonts w:ascii="Arial" w:cs="Arial" w:eastAsia="Arial" w:hAnsi="Arial"/>
          <w:color w:val="6C757D"/>
          <w:sz w:val="16"/>
          <w:szCs w:val="16"/>
        </w:rPr>
        <w:t xml:space="preserve">  | Hàng năm hoặc khi thay đổi đáng kể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E8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ĐẦU VÀO (Inputs):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Hóa đơn điện/nhiệt liệu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Dữ liệu đo lường phân vùng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Dữ liệu sản xuất</w:t>
            </w:r>
          </w:p>
        </w:tc>
        <w:tc>
          <w:tcPr>
            <w:tcW w:type="dxa" w:w="4680"/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ĐẦU RA (Outputs):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Báo cáo rà soát NL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Danh sách SEU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Cơ hội cải tiến NL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Tham chiếu tiêu chuẩn: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6"/>
                <w:szCs w:val="16"/>
              </w:rPr>
              <w:t xml:space="preserve">ISO 50001 §6.3 | ISO 50002:2014 | TT 25/2020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Phát hiện khoảng cách: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Bằng chứng thu thập: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Đề xuất hành động: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20" w:space="3"/>
        </w:pBdr>
        <w:shd w:fill="F4F6F8" w:val="clear"/>
        <w:spacing w:after="0" w:before="13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PR-03  </w:t>
      </w:r>
      <w:r>
        <w:rPr>
          <w:rFonts w:ascii="Arial" w:cs="Arial" w:eastAsia="Arial" w:hAnsi="Arial"/>
          <w:b/>
          <w:bCs/>
          <w:color w:val="1B3564"/>
          <w:sz w:val="22"/>
          <w:szCs w:val="22"/>
        </w:rPr>
        <w:t xml:space="preserve">Thiết lập và theo dõi EnPI / EnB</w:t>
      </w:r>
      <w:r>
        <w:rPr>
          <w:rFonts w:ascii="Arial" w:cs="Arial" w:eastAsia="Arial" w:hAnsi="Arial"/>
          <w:b/>
          <w:bCs/>
          <w:color w:val="ADB5BD"/>
          <w:sz w:val="18"/>
          <w:szCs w:val="18"/>
        </w:rPr>
        <w:t xml:space="preserve">   Điểm: —/5.0</w:t>
      </w:r>
      <w:r>
        <w:rPr>
          <w:rFonts w:ascii="Arial" w:cs="Arial" w:eastAsia="Arial" w:hAnsi="Arial"/>
          <w:color w:val="6C757D"/>
          <w:sz w:val="16"/>
          <w:szCs w:val="16"/>
        </w:rPr>
        <w:t xml:space="preserve">  | Hàng tháng (đo) / Hàng năm (cập nhật EnB)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E8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ĐẦU VÀO (Inputs):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Dữ liệu đo lường tại SEU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Dữ liệu sản xuất (biến tĩnh)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EnB kỳ trước</w:t>
            </w:r>
          </w:p>
        </w:tc>
        <w:tc>
          <w:tcPr>
            <w:tcW w:type="dxa" w:w="4680"/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ĐẦU RA (Outputs):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Dashboard EnPI hàng tháng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Báo cáo xu hướng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Cảnh báo lệch EnB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Tham chiếu tiêu chuẩn: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6"/>
                <w:szCs w:val="16"/>
              </w:rPr>
              <w:t xml:space="preserve">ISO 50001 §6.4 | ISO 50001 §6.5 | ISO 50006:2014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Phát hiện khoảng cách: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Bằng chứng thu thập: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Đề xuất hành động: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20" w:space="3"/>
        </w:pBdr>
        <w:shd w:fill="F4F6F8" w:val="clear"/>
        <w:spacing w:after="0" w:before="13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PR-04  </w:t>
      </w:r>
      <w:r>
        <w:rPr>
          <w:rFonts w:ascii="Arial" w:cs="Arial" w:eastAsia="Arial" w:hAnsi="Arial"/>
          <w:b/>
          <w:bCs/>
          <w:color w:val="1B3564"/>
          <w:sz w:val="22"/>
          <w:szCs w:val="22"/>
        </w:rPr>
        <w:t xml:space="preserve">Kiểm soát vận hành tại SEU</w:t>
      </w:r>
      <w:r>
        <w:rPr>
          <w:rFonts w:ascii="Arial" w:cs="Arial" w:eastAsia="Arial" w:hAnsi="Arial"/>
          <w:b/>
          <w:bCs/>
          <w:color w:val="ADB5BD"/>
          <w:sz w:val="18"/>
          <w:szCs w:val="18"/>
        </w:rPr>
        <w:t xml:space="preserve">   Điểm: —/5.0</w:t>
      </w:r>
      <w:r>
        <w:rPr>
          <w:rFonts w:ascii="Arial" w:cs="Arial" w:eastAsia="Arial" w:hAnsi="Arial"/>
          <w:color w:val="6C757D"/>
          <w:sz w:val="16"/>
          <w:szCs w:val="16"/>
        </w:rPr>
        <w:t xml:space="preserve">  | Liên tục / Hàng 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E8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ĐẦU VÀO (Inputs):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SOP vận hành SEU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Tiêu chí NL tối ưu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Check-list ca làm việc</w:t>
            </w:r>
          </w:p>
        </w:tc>
        <w:tc>
          <w:tcPr>
            <w:tcW w:type="dxa" w:w="4680"/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ĐẦU RA (Outputs):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Nhật ký vận hành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Báo cáo sự cố NL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Dữ liệu thực tế SEU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Tham chiếu tiêu chuẩn: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6"/>
                <w:szCs w:val="16"/>
              </w:rPr>
              <w:t xml:space="preserve">ISO 50001 §8.1 | ISO 50001 §6.6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Phát hiện khoảng cách: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Bằng chứng thu thập: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Đề xuất hành động: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20" w:space="3"/>
        </w:pBdr>
        <w:shd w:fill="F4F6F8" w:val="clear"/>
        <w:spacing w:after="0" w:before="13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PR-05  </w:t>
      </w:r>
      <w:r>
        <w:rPr>
          <w:rFonts w:ascii="Arial" w:cs="Arial" w:eastAsia="Arial" w:hAnsi="Arial"/>
          <w:b/>
          <w:bCs/>
          <w:color w:val="1B3564"/>
          <w:sz w:val="22"/>
          <w:szCs w:val="22"/>
        </w:rPr>
        <w:t xml:space="preserve">Mua sắm thiết bị &amp; Dịch vụ NL</w:t>
      </w:r>
      <w:r>
        <w:rPr>
          <w:rFonts w:ascii="Arial" w:cs="Arial" w:eastAsia="Arial" w:hAnsi="Arial"/>
          <w:b/>
          <w:bCs/>
          <w:color w:val="ADB5BD"/>
          <w:sz w:val="18"/>
          <w:szCs w:val="18"/>
        </w:rPr>
        <w:t xml:space="preserve">   Điểm: —/5.0</w:t>
      </w:r>
      <w:r>
        <w:rPr>
          <w:rFonts w:ascii="Arial" w:cs="Arial" w:eastAsia="Arial" w:hAnsi="Arial"/>
          <w:color w:val="6C757D"/>
          <w:sz w:val="16"/>
          <w:szCs w:val="16"/>
        </w:rPr>
        <w:t xml:space="preserve">  | Theo nhu cầu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E8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ĐẦU VÀO (Inputs):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Tiêu chí NL cho thiết bị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Danh sách MEPS / Nhãn NL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Thông số kỹ thuật</w:t>
            </w:r>
          </w:p>
        </w:tc>
        <w:tc>
          <w:tcPr>
            <w:tcW w:type="dxa" w:w="4680"/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ĐẦU RA (Outputs):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Hợp đồng mua sắm có tiêu chí NL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Thiết bị đáp ứng MEPS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Hồ sơ đánh giá nhà cung cấp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Tham chiếu tiêu chuẩn: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6"/>
                <w:szCs w:val="16"/>
              </w:rPr>
              <w:t xml:space="preserve">ISO 50001 §8.3 | TT 36/2016 | QĐ 2395/QĐ-BCT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Phát hiện khoảng cách: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Bằng chứng thu thập: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Đề xuất hành động: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20" w:space="3"/>
        </w:pBdr>
        <w:shd w:fill="F4F6F8" w:val="clear"/>
        <w:spacing w:after="0" w:before="13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PR-06  </w:t>
      </w:r>
      <w:r>
        <w:rPr>
          <w:rFonts w:ascii="Arial" w:cs="Arial" w:eastAsia="Arial" w:hAnsi="Arial"/>
          <w:b/>
          <w:bCs/>
          <w:color w:val="1B3564"/>
          <w:sz w:val="22"/>
          <w:szCs w:val="22"/>
        </w:rPr>
        <w:t xml:space="preserve">Đào tạo và nâng cao nhận thức NL</w:t>
      </w:r>
      <w:r>
        <w:rPr>
          <w:rFonts w:ascii="Arial" w:cs="Arial" w:eastAsia="Arial" w:hAnsi="Arial"/>
          <w:b/>
          <w:bCs/>
          <w:color w:val="ADB5BD"/>
          <w:sz w:val="18"/>
          <w:szCs w:val="18"/>
        </w:rPr>
        <w:t xml:space="preserve">   Điểm: —/5.0</w:t>
      </w:r>
      <w:r>
        <w:rPr>
          <w:rFonts w:ascii="Arial" w:cs="Arial" w:eastAsia="Arial" w:hAnsi="Arial"/>
          <w:color w:val="6C757D"/>
          <w:sz w:val="16"/>
          <w:szCs w:val="16"/>
        </w:rPr>
        <w:t xml:space="preserve">  | Hàng năm + khi có yêu cầu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E8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ĐẦU VÀO (Inputs):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Kế hoạch đào tạo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Danh sách vị trí ảnh hưởng EnPI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Nội dung EnMS</w:t>
            </w:r>
          </w:p>
        </w:tc>
        <w:tc>
          <w:tcPr>
            <w:tcW w:type="dxa" w:w="4680"/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ĐẦU RA (Outputs):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Hồ sơ đào tạo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Kết quả kiểm tra năng lực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Nhân viên nhận thức EnMS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Tham chiếu tiêu chuẩn: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6"/>
                <w:szCs w:val="16"/>
              </w:rPr>
              <w:t xml:space="preserve">ISO 50001 §7.2 | ISO 50001 §7.3 | TT 38/2014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Phát hiện khoảng cách: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Bằng chứng thu thập: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Đề xuất hành động: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20" w:space="3"/>
        </w:pBdr>
        <w:shd w:fill="F4F6F8" w:val="clear"/>
        <w:spacing w:after="0" w:before="13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PR-07  </w:t>
      </w:r>
      <w:r>
        <w:rPr>
          <w:rFonts w:ascii="Arial" w:cs="Arial" w:eastAsia="Arial" w:hAnsi="Arial"/>
          <w:b/>
          <w:bCs/>
          <w:color w:val="1B3564"/>
          <w:sz w:val="22"/>
          <w:szCs w:val="22"/>
        </w:rPr>
        <w:t xml:space="preserve">Đánh giá nội bộ EnMS</w:t>
      </w:r>
      <w:r>
        <w:rPr>
          <w:rFonts w:ascii="Arial" w:cs="Arial" w:eastAsia="Arial" w:hAnsi="Arial"/>
          <w:b/>
          <w:bCs/>
          <w:color w:val="ADB5BD"/>
          <w:sz w:val="18"/>
          <w:szCs w:val="18"/>
        </w:rPr>
        <w:t xml:space="preserve">   Điểm: —/5.0</w:t>
      </w:r>
      <w:r>
        <w:rPr>
          <w:rFonts w:ascii="Arial" w:cs="Arial" w:eastAsia="Arial" w:hAnsi="Arial"/>
          <w:color w:val="6C757D"/>
          <w:sz w:val="16"/>
          <w:szCs w:val="16"/>
        </w:rPr>
        <w:t xml:space="preserve">  | Ít nhất 1 lần/năm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E8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ĐẦU VÀO (Inputs):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Chương trình đánh giá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Hồ sơ EnMS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EnPI trends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Checklist §4-§10</w:t>
            </w:r>
          </w:p>
        </w:tc>
        <w:tc>
          <w:tcPr>
            <w:tcW w:type="dxa" w:w="4680"/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ĐẦU RA (Outputs):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Báo cáo đánh giá nội bộ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Danh sách NC/OFI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CAR (Corrective Action Report)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Tham chiếu tiêu chuẩn: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6"/>
                <w:szCs w:val="16"/>
              </w:rPr>
              <w:t xml:space="preserve">ISO 50001 §9.2 | ISO 50003:2014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Phát hiện khoảng cách: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Bằng chứng thu thập: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Đề xuất hành động: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20" w:space="3"/>
        </w:pBdr>
        <w:shd w:fill="F4F6F8" w:val="clear"/>
        <w:spacing w:after="0" w:before="13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PR-08  </w:t>
      </w:r>
      <w:r>
        <w:rPr>
          <w:rFonts w:ascii="Arial" w:cs="Arial" w:eastAsia="Arial" w:hAnsi="Arial"/>
          <w:b/>
          <w:bCs/>
          <w:color w:val="1B3564"/>
          <w:sz w:val="22"/>
          <w:szCs w:val="22"/>
        </w:rPr>
        <w:t xml:space="preserve">Xem xét lãnh đạo (Management Review)</w:t>
      </w:r>
      <w:r>
        <w:rPr>
          <w:rFonts w:ascii="Arial" w:cs="Arial" w:eastAsia="Arial" w:hAnsi="Arial"/>
          <w:b/>
          <w:bCs/>
          <w:color w:val="ADB5BD"/>
          <w:sz w:val="18"/>
          <w:szCs w:val="18"/>
        </w:rPr>
        <w:t xml:space="preserve">   Điểm: —/5.0</w:t>
      </w:r>
      <w:r>
        <w:rPr>
          <w:rFonts w:ascii="Arial" w:cs="Arial" w:eastAsia="Arial" w:hAnsi="Arial"/>
          <w:color w:val="6C757D"/>
          <w:sz w:val="16"/>
          <w:szCs w:val="16"/>
        </w:rPr>
        <w:t xml:space="preserve">  | Ít nhất 1 lần/năm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E8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ĐẦU VÀO (Inputs):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Kết quả đánh giá nội bộ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EnPI trends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Tuân thủ pháp lý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Khiếu nại/phản hồi</w:t>
            </w:r>
          </w:p>
        </w:tc>
        <w:tc>
          <w:tcPr>
            <w:tcW w:type="dxa" w:w="4680"/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ĐẦU RA (Outputs):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Biên bản xem xét lãnh đạo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Quyết định về nguồn lực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Mục tiêu NL kỳ mới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Tham chiếu tiêu chuẩn: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6"/>
                <w:szCs w:val="16"/>
              </w:rPr>
              <w:t xml:space="preserve">ISO 50001 §9.3 | TT 25/2020/TT-BCT §20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Phát hiện khoảng cách: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Bằng chứng thu thập: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Đề xuất hành động: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20" w:space="3"/>
        </w:pBdr>
        <w:shd w:fill="F4F6F8" w:val="clear"/>
        <w:spacing w:after="0" w:before="13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PR-09  </w:t>
      </w:r>
      <w:r>
        <w:rPr>
          <w:rFonts w:ascii="Arial" w:cs="Arial" w:eastAsia="Arial" w:hAnsi="Arial"/>
          <w:b/>
          <w:bCs/>
          <w:color w:val="1B3564"/>
          <w:sz w:val="22"/>
          <w:szCs w:val="22"/>
        </w:rPr>
        <w:t xml:space="preserve">Xử lý NC và hành động khắc phục</w:t>
      </w:r>
      <w:r>
        <w:rPr>
          <w:rFonts w:ascii="Arial" w:cs="Arial" w:eastAsia="Arial" w:hAnsi="Arial"/>
          <w:b/>
          <w:bCs/>
          <w:color w:val="ADB5BD"/>
          <w:sz w:val="18"/>
          <w:szCs w:val="18"/>
        </w:rPr>
        <w:t xml:space="preserve">   Điểm: —/5.0</w:t>
      </w:r>
      <w:r>
        <w:rPr>
          <w:rFonts w:ascii="Arial" w:cs="Arial" w:eastAsia="Arial" w:hAnsi="Arial"/>
          <w:color w:val="6C757D"/>
          <w:sz w:val="16"/>
          <w:szCs w:val="16"/>
        </w:rPr>
        <w:t xml:space="preserve">  | Khi phát sinh NC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E8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ĐẦU VÀO (Inputs):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Phát hiện NC từ đánh giá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Khiếu nại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Sự cố vận hành NL</w:t>
            </w:r>
          </w:p>
        </w:tc>
        <w:tc>
          <w:tcPr>
            <w:tcW w:type="dxa" w:w="4680"/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ĐẦU RA (Outputs):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CAR đã đóng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Hồ sơ NC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Cập nhật quy trình / tài liệu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Tham chiếu tiêu chuẩn: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6"/>
                <w:szCs w:val="16"/>
              </w:rPr>
              <w:t xml:space="preserve">ISO 50001 §10.1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Phát hiện khoảng cách: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Bằng chứng thu thập: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Đề xuất hành động: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10" w:space="2"/>
        </w:pBdr>
        <w:spacing w:after="180" w:before="36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12. KHẢO SÁT HIỆN TRƯỜNG — NHÀ XƯỞNG, KHU VỰC VÀ THIẾT BỊ</w:t>
      </w:r>
    </w:p>
    <w:p>
      <w:pPr>
        <w:spacing w:after="120" w:before="60" w:line="29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Khảo sát thực địa tại từng khu vực/thiết bị nhằm xác định SEU (Khu vực sử dụng NL đáng kể), hiệu suất thực tế và cơ hội cải tiến theo ISO 50001:2018 §6.3 &amp; §8.1.</w:t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12.1. Tổng quan các khu vực / nhà xưởng được khảo sát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1800"/>
        <w:gridCol w:w="1200"/>
        <w:gridCol w:w="1000"/>
        <w:gridCol w:w="1000"/>
        <w:gridCol w:w="1360"/>
      </w:tblGrid>
      <w:tr>
        <w:trPr>
          <w:tblHeader/>
        </w:trPr>
        <w:tc>
          <w:tcPr>
            <w:tcW w:type="dxa" w:w="4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STT</w:t>
            </w:r>
          </w:p>
        </w:tc>
        <w:tc>
          <w:tcPr>
            <w:tcW w:type="dxa" w:w="2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Tên khu vực / Nhà xưởng</w:t>
            </w:r>
          </w:p>
        </w:tc>
        <w:tc>
          <w:tcPr>
            <w:tcW w:type="dxa" w:w="1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Loại NL chính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NL tiêu thụ</w:t>
            </w:r>
          </w:p>
        </w:tc>
        <w:tc>
          <w:tcPr>
            <w:tcW w:type="dxa" w:w="10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Tổng</w:t>
            </w:r>
          </w:p>
        </w:tc>
        <w:tc>
          <w:tcPr>
            <w:tcW w:type="dxa" w:w="10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Điểm SEU</w:t>
            </w:r>
          </w:p>
        </w:tc>
        <w:tc>
          <w:tcPr>
            <w:tcW w:type="dxa" w:w="13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Điểm GAP</w:t>
            </w:r>
          </w:p>
        </w:tc>
      </w:tr>
      <w:tr>
        <w:tc>
          <w:tcPr>
            <w:tcW w:type="auto" w:w="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8"/>
                <w:szCs w:val="18"/>
              </w:rPr>
              <w:t xml:space="preserve">1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🏭</w:t>
            </w: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 Xưởng A</w:t>
            </w:r>
          </w:p>
        </w:tc>
        <w:tc>
          <w:tcPr>
            <w:tcW w:type="auto" w:w="1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Điện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500 MWh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45%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D35400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⚡ SEU</w:t>
            </w:r>
          </w:p>
        </w:tc>
        <w:tc>
          <w:tcPr>
            <w:tcW w:type="auto" w:w="13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9F7E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3.5/5.0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12.2. Chi tiết khảo sát từng khu vực</w:t>
      </w:r>
    </w:p>
    <w:p>
      <w:pPr>
        <w:pBdr>
          <w:left w:val="single" w:color="1A7A4A" w:sz="20" w:space="3"/>
        </w:pBdr>
        <w:shd w:fill="1A7A4A" w:val="clear"/>
        <w:spacing w:after="0" w:before="130"/>
      </w:pPr>
      <w:r>
        <w:rPr>
          <w:rFonts w:ascii="Arial" w:cs="Arial" w:eastAsia="Arial" w:hAnsi="Arial"/>
          <w:sz w:val="20"/>
          <w:szCs w:val="20"/>
        </w:rPr>
        <w:t xml:space="preserve">  🏭  </w:t>
      </w:r>
      <w:r>
        <w:rPr>
          <w:rFonts w:ascii="Arial" w:cs="Arial" w:eastAsia="Arial" w:hAnsi="Arial"/>
          <w:b/>
          <w:bCs/>
          <w:color w:val="1B3564"/>
          <w:sz w:val="22"/>
          <w:szCs w:val="22"/>
        </w:rPr>
        <w:t xml:space="preserve">Xưởng A</w:t>
      </w:r>
      <w:r>
        <w:rPr>
          <w:rFonts w:ascii="Arial" w:cs="Arial" w:eastAsia="Arial" w:hAnsi="Arial"/>
          <w:b/>
          <w:bCs/>
          <w:color w:val="D35400"/>
          <w:sz w:val="18"/>
          <w:szCs w:val="18"/>
        </w:rPr>
        <w:t xml:space="preserve">  ⚡ SEU</w:t>
      </w:r>
      <w:r>
        <w:rPr>
          <w:rFonts w:ascii="Arial" w:cs="Arial" w:eastAsia="Arial" w:hAnsi="Arial"/>
          <w:color w:val="1A7A4A"/>
          <w:sz w:val="18"/>
          <w:szCs w:val="18"/>
        </w:rPr>
        <w:t xml:space="preserve">   Điểm GAP: 3.5/5.0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25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Loại năng lượng: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Điện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25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NL tiêu thụ / năm: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500 MWh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25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Người vận hành: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25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Tiềm năng TKNL: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10" w:space="2"/>
        </w:pBdr>
        <w:spacing w:after="180" w:before="36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13. MASTER ACTION PLAN — LỘ TRÌNH KHẮC PHỤC KHOẢNG CÁCH</w:t>
      </w:r>
    </w:p>
    <w:p>
      <w:pPr>
        <w:spacing w:after="120" w:before="60" w:line="29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Kế hoạch hành động tổng thể để đóng khoảng cách, xây dựng EnMS đạt tiêu chuẩn ISO 50001:2018 và chuẩn bị chứng nhận.</w:t>
      </w:r>
    </w:p>
    <w:p>
      <w:pPr>
        <w:shd w:fill="C0392B" w:val="clear"/>
        <w:spacing w:after="0" w:before="12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Giai đoạn 1 — Ngay lập tức (0–30 ngày)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400"/>
        <w:gridCol w:w="2900"/>
        <w:gridCol w:w="1400"/>
        <w:gridCol w:w="1200"/>
        <w:gridCol w:w="1200"/>
        <w:gridCol w:w="1880"/>
      </w:tblGrid>
      <w:tr>
        <w:trPr>
          <w:tblHeader/>
        </w:trPr>
        <w:tc>
          <w:tcPr>
            <w:tcW w:type="dxa" w:w="38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STT</w:t>
            </w:r>
          </w:p>
        </w:tc>
        <w:tc>
          <w:tcPr>
            <w:tcW w:type="dxa" w:w="4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2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Hành động / Dự án</w:t>
            </w:r>
          </w:p>
        </w:tc>
        <w:tc>
          <w:tcPr>
            <w:tcW w:type="dxa" w:w="14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Điều khoản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Người TN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  <w:tc>
          <w:tcPr>
            <w:tcW w:type="dxa" w:w="188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Nguồn lực</w:t>
            </w:r>
          </w:p>
        </w:tc>
      </w:tr>
      <w:tr>
        <w:tc>
          <w:tcPr>
            <w:tcW w:type="auto" w:w="38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auto" w:w="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5"/>
                <w:szCs w:val="15"/>
              </w:rPr>
              <w:t xml:space="preserve">AP-01</w:t>
            </w:r>
          </w:p>
        </w:tc>
        <w:tc>
          <w:tcPr>
            <w:tcW w:type="auto" w:w="2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Lập kế hoạch rà soát NL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A08A"/>
                <w:sz w:val="16"/>
                <w:szCs w:val="16"/>
              </w:rPr>
              <w:t xml:space="preserve">§6.3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EMR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5"/>
                <w:szCs w:val="15"/>
              </w:rPr>
              <w:t xml:space="preserve">30 ngày</w:t>
            </w:r>
          </w:p>
        </w:tc>
        <w:tc>
          <w:tcPr>
            <w:tcW w:type="auto" w:w="188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LỘ TRÌNH TƯ VẤN CHỨNG NHẬN ISO 50001:2018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30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Mốc thời gian</w:t>
            </w:r>
          </w:p>
        </w:tc>
        <w:tc>
          <w:tcPr>
            <w:tcW w:type="dxa" w:w="2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Hoạt động chính</w:t>
            </w:r>
          </w:p>
        </w:tc>
        <w:tc>
          <w:tcPr>
            <w:tcW w:type="dxa" w:w="30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Đầu ra kỳ vọng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Tiêu chí hoàn thành</w:t>
            </w:r>
          </w:p>
        </w:tc>
      </w:tr>
      <w:tr>
        <w:tc>
          <w:tcPr>
            <w:tcW w:type="dxa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T+0 → T+1</w:t>
            </w:r>
          </w:p>
        </w:tc>
        <w:tc>
          <w:tcPr>
            <w:tcW w:type="dxa" w:w="2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Đóng khoảng cách nghiêm trọng (Score 1)</w:t>
            </w:r>
          </w:p>
        </w:tc>
        <w:tc>
          <w:tcPr>
            <w:tcW w:type="dxa" w:w="3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Tài liệu EnMS cơ bản hoàn chỉnh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9F7E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16"/>
                <w:szCs w:val="16"/>
              </w:rPr>
              <w:t xml:space="preserve">Không còn NC Score 1</w:t>
            </w:r>
          </w:p>
        </w:tc>
      </w:tr>
      <w:tr>
        <w:tc>
          <w:tcPr>
            <w:tcW w:type="dxa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T+1 → T+3</w:t>
            </w:r>
          </w:p>
        </w:tc>
        <w:tc>
          <w:tcPr>
            <w:tcW w:type="dxa" w:w="2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Xây dựng đầy đủ EnMS §4–§10</w:t>
            </w:r>
          </w:p>
        </w:tc>
        <w:tc>
          <w:tcPr>
            <w:tcW w:type="dxa" w:w="3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EnB, EnPI, SEU, Chính sách NL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9F7E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16"/>
                <w:szCs w:val="16"/>
              </w:rPr>
              <w:t xml:space="preserve">Score trung bình ≥ 3.5/5</w:t>
            </w:r>
          </w:p>
        </w:tc>
      </w:tr>
      <w:tr>
        <w:tc>
          <w:tcPr>
            <w:tcW w:type="dxa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T+3 → T+6</w:t>
            </w:r>
          </w:p>
        </w:tc>
        <w:tc>
          <w:tcPr>
            <w:tcW w:type="dxa" w:w="2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Vận hành EnMS và thu thập bằng chứng</w:t>
            </w:r>
          </w:p>
        </w:tc>
        <w:tc>
          <w:tcPr>
            <w:tcW w:type="dxa" w:w="3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Hồ sơ vận hành 3+ tháng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9F7E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16"/>
                <w:szCs w:val="16"/>
              </w:rPr>
              <w:t xml:space="preserve">Bằng chứng thực tế tại SEU</w:t>
            </w:r>
          </w:p>
        </w:tc>
      </w:tr>
      <w:tr>
        <w:tc>
          <w:tcPr>
            <w:tcW w:type="dxa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T+6 → T+9</w:t>
            </w:r>
          </w:p>
        </w:tc>
        <w:tc>
          <w:tcPr>
            <w:tcW w:type="dxa" w:w="2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Đánh giá nội bộ + Action khắc phục</w:t>
            </w:r>
          </w:p>
        </w:tc>
        <w:tc>
          <w:tcPr>
            <w:tcW w:type="dxa" w:w="3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Báo cáo đánh giá nội bộ, CAR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9F7E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16"/>
                <w:szCs w:val="16"/>
              </w:rPr>
              <w:t xml:space="preserve">Tất cả NC được đóng</w:t>
            </w:r>
          </w:p>
        </w:tc>
      </w:tr>
      <w:tr>
        <w:tc>
          <w:tcPr>
            <w:tcW w:type="dxa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T+9 → T+12</w:t>
            </w:r>
          </w:p>
        </w:tc>
        <w:tc>
          <w:tcPr>
            <w:tcW w:type="dxa" w:w="2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Đánh giá chứng nhận (Stage 1 + Stage 2)</w:t>
            </w:r>
          </w:p>
        </w:tc>
        <w:tc>
          <w:tcPr>
            <w:tcW w:type="dxa" w:w="3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Chứng nhận ISO 50001:2018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9F7E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16"/>
                <w:szCs w:val="16"/>
              </w:rPr>
              <w:t xml:space="preserve">Không có NC Major từ CBTT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14. BẰNG CHỨNG THEO ĐIỀU KHOẢN ĐÁNH GIÁ</w:t>
      </w:r>
    </w:p>
    <w:p>
      <w:pPr>
        <w:spacing w:after="9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4A4A4A"/>
          <w:sz w:val="18"/>
          <w:szCs w:val="18"/>
        </w:rPr>
        <w:t xml:space="preserve">Các tài liệu và ảnh bằng chứng thu thập tại hiện trường (chọn file / Camera Laptop / đồng bộ điện thoại qua Socket.IO), gắn với từng điều khoản. Ảnh bố trí theo bảng 2 cột.</w:t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7377"/>
          <w:sz w:val="23"/>
          <w:szCs w:val="23"/>
        </w:rPr>
        <w:t xml:space="preserve">§4.1.1 — 1 bằng chứng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60"/>
              <w:jc w:val="center"/>
            </w:pPr>
            <w:r>
              <w:drawing>
                <wp:inline distT="0" distB="0" distL="0" distR="0">
                  <wp:extent cx="9525" cy="95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Bằng chứng test — Ảnh nhúng thật</w:t>
            </w:r>
          </w:p>
        </w:tc>
        <w:tc>
          <w:tcPr>
            <w:tcW w:type="dxa" w:w="468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2E5FA3" w:sz="10" w:space="2"/>
        </w:pBdr>
        <w:spacing w:after="180" w:before="36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15. PHỤ LỤC — ĐĂNG KÝ TUÂN THỦ PHÁP LÝ VÀ TIÊU CHUẨN</w:t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A.1. Pháp luật Việt Nam — Mức độ tuân thủ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000"/>
        <w:gridCol w:w="1400"/>
        <w:gridCol w:w="1000"/>
        <w:gridCol w:w="1560"/>
      </w:tblGrid>
      <w:tr>
        <w:trPr>
          <w:tblHeader/>
        </w:trPr>
        <w:tc>
          <w:tcPr>
            <w:tcW w:type="dxa" w:w="1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Văn bản</w:t>
            </w:r>
          </w:p>
        </w:tc>
        <w:tc>
          <w:tcPr>
            <w:tcW w:type="dxa" w:w="2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Tên</w:t>
            </w:r>
          </w:p>
        </w:tc>
        <w:tc>
          <w:tcPr>
            <w:tcW w:type="dxa" w:w="10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Loại</w:t>
            </w:r>
          </w:p>
        </w:tc>
        <w:tc>
          <w:tcPr>
            <w:tcW w:type="dxa" w:w="14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Điều khoản chính</w:t>
            </w:r>
          </w:p>
        </w:tc>
        <w:tc>
          <w:tcPr>
            <w:tcW w:type="dxa" w:w="10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Ngưỡng</w:t>
            </w:r>
          </w:p>
        </w:tc>
        <w:tc>
          <w:tcPr>
            <w:tcW w:type="dxa" w:w="1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Trạng thái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6"/>
                <w:szCs w:val="16"/>
              </w:rPr>
              <w:t xml:space="preserve">Luật 50/2010/QH12</w:t>
            </w:r>
          </w:p>
        </w:tc>
        <w:tc>
          <w:tcPr>
            <w:tcW w:type="auto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Luật Sử dụng NL tiết kiệm và HQ; Luật 77/2025/QH15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2E5FA3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Luật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Điều 4–7, 35–42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D35400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Bắt buộc tất cả CSTN</w:t>
            </w:r>
          </w:p>
        </w:tc>
        <w:tc>
          <w:tcPr>
            <w:tcW w:type="auto" w:w="1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○ Đang XĐ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6"/>
                <w:szCs w:val="16"/>
              </w:rPr>
              <w:t xml:space="preserve">NĐ 30/2026/NĐ-CP</w:t>
            </w:r>
          </w:p>
        </w:tc>
        <w:tc>
          <w:tcPr>
            <w:tcW w:type="auto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Nghị định 30/2026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2E5FA3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Nghị định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Điều 10–30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Tất cả</w:t>
            </w:r>
          </w:p>
        </w:tc>
        <w:tc>
          <w:tcPr>
            <w:tcW w:type="auto" w:w="1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○ Đang XĐ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6"/>
                <w:szCs w:val="16"/>
              </w:rPr>
              <w:t xml:space="preserve">TT 25/2020/TT-BCT</w:t>
            </w:r>
          </w:p>
        </w:tc>
        <w:tc>
          <w:tcPr>
            <w:tcW w:type="auto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Quản lý NL tại cơ sở CN trọng điểm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2E5FA3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Thông tư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Điều 4–20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D35400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≥1.000 TOE/năm</w:t>
            </w:r>
          </w:p>
        </w:tc>
        <w:tc>
          <w:tcPr>
            <w:tcW w:type="auto" w:w="1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○ Đang XĐ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6"/>
                <w:szCs w:val="16"/>
              </w:rPr>
              <w:t xml:space="preserve">TT 25/2020/TT-BCT</w:t>
            </w:r>
          </w:p>
        </w:tc>
        <w:tc>
          <w:tcPr>
            <w:tcW w:type="auto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Kiểm toán năng lượng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2E5FA3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Thông tư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Điều 5–15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D35400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Mỗi 3 năm — CSTN</w:t>
            </w:r>
          </w:p>
        </w:tc>
        <w:tc>
          <w:tcPr>
            <w:tcW w:type="auto" w:w="1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○ Đang XĐ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6"/>
                <w:szCs w:val="16"/>
              </w:rPr>
              <w:t xml:space="preserve">TT 38/2014/TT-BCT</w:t>
            </w:r>
          </w:p>
        </w:tc>
        <w:tc>
          <w:tcPr>
            <w:tcW w:type="auto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Đào tạo quản lý năng lượng (EMR)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2E5FA3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Thông tư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Điều 4–9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D35400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Bắt buộc EMR</w:t>
            </w:r>
          </w:p>
        </w:tc>
        <w:tc>
          <w:tcPr>
            <w:tcW w:type="auto" w:w="1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○ Đang XĐ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6"/>
                <w:szCs w:val="16"/>
              </w:rPr>
              <w:t xml:space="preserve">TT 36/2016/TT-BCT</w:t>
            </w:r>
          </w:p>
        </w:tc>
        <w:tc>
          <w:tcPr>
            <w:tcW w:type="auto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Dán nhãn năng lượng và MEPS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2E5FA3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Thông tư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Danh mục thiết bị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D35400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Thiết bị trong danh mục</w:t>
            </w:r>
          </w:p>
        </w:tc>
        <w:tc>
          <w:tcPr>
            <w:tcW w:type="auto" w:w="1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○ Đang XĐ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6"/>
                <w:szCs w:val="16"/>
              </w:rPr>
              <w:t xml:space="preserve">QĐ 280/QĐ-TTg</w:t>
            </w:r>
          </w:p>
        </w:tc>
        <w:tc>
          <w:tcPr>
            <w:tcW w:type="auto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VNEEP3 (2019–2030)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2E5FA3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QĐ TTg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Mục tiêu 8–10% TKNL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Tất cả</w:t>
            </w:r>
          </w:p>
        </w:tc>
        <w:tc>
          <w:tcPr>
            <w:tcW w:type="auto" w:w="1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○ Đang XĐ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6"/>
                <w:szCs w:val="16"/>
              </w:rPr>
              <w:t xml:space="preserve">NĐ 06/2022/NĐ-CP</w:t>
            </w:r>
          </w:p>
        </w:tc>
        <w:tc>
          <w:tcPr>
            <w:tcW w:type="auto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Giảm phát thải KNK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2E5FA3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Nghị định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Điều 6, 15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D35400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≥3.000 tCO₂e/năm</w:t>
            </w:r>
          </w:p>
        </w:tc>
        <w:tc>
          <w:tcPr>
            <w:tcW w:type="auto" w:w="1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○ Đang XĐ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6"/>
                <w:szCs w:val="16"/>
              </w:rPr>
              <w:t xml:space="preserve">NĐ 98/2020/NĐ-CP</w:t>
            </w:r>
          </w:p>
        </w:tc>
        <w:tc>
          <w:tcPr>
            <w:tcW w:type="auto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Xử phạt vi phạm NLTK&amp;HQ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2E5FA3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Nghị định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Điều 60–70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Tất cả</w:t>
            </w:r>
          </w:p>
        </w:tc>
        <w:tc>
          <w:tcPr>
            <w:tcW w:type="auto" w:w="1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○ Đang XĐ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6"/>
                <w:szCs w:val="16"/>
              </w:rPr>
              <w:t xml:space="preserve">QĐ 2395/QĐ-BCT</w:t>
            </w:r>
          </w:p>
        </w:tc>
        <w:tc>
          <w:tcPr>
            <w:tcW w:type="auto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MEPS thiết bị công nghiệp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2E5FA3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QĐ BCT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Motor, bơm, quạt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D35400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Thiết bị mới mua</w:t>
            </w:r>
          </w:p>
        </w:tc>
        <w:tc>
          <w:tcPr>
            <w:tcW w:type="auto" w:w="1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○ Đang XĐ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A.2. Họ tiêu chuẩn ISO 500xx áp dụng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 tiêu chuẩn</w:t>
            </w:r>
          </w:p>
        </w:tc>
        <w:tc>
          <w:tcPr>
            <w:tcW w:type="dxa" w:w="77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Vai trò trong dự án tư vấn GAP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ISO 50001:2018</w:t>
            </w:r>
          </w:p>
        </w:tc>
        <w:tc>
          <w:tcPr>
            <w:tcW w:type="auto" w:w="77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Tiêu chuẩn gốc — EnMS Requirements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ISO 50002:2014</w:t>
            </w:r>
          </w:p>
        </w:tc>
        <w:tc>
          <w:tcPr>
            <w:tcW w:type="auto" w:w="77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Energy Audits — Kiểm toán năng lượng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ISO 50003:2014</w:t>
            </w:r>
          </w:p>
        </w:tc>
        <w:tc>
          <w:tcPr>
            <w:tcW w:type="auto" w:w="77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Certification Bodies — Tổ chức chứng nhận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ISO 50004:2014</w:t>
            </w:r>
          </w:p>
        </w:tc>
        <w:tc>
          <w:tcPr>
            <w:tcW w:type="auto" w:w="77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Implementation Guidance — Hướng dẫn triển khai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ISO 50006:2014</w:t>
            </w:r>
          </w:p>
        </w:tc>
        <w:tc>
          <w:tcPr>
            <w:tcW w:type="auto" w:w="77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EnPI &amp; EnB Measurement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ISO 50015:2014</w:t>
            </w:r>
          </w:p>
        </w:tc>
        <w:tc>
          <w:tcPr>
            <w:tcW w:type="auto" w:w="77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M&amp;V — Đo lường và xác minh NL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ISO 50021:2019</w:t>
            </w:r>
          </w:p>
        </w:tc>
        <w:tc>
          <w:tcPr>
            <w:tcW w:type="auto" w:w="77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EnPI/EnB Selection Guidelines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ISO 50047:2016</w:t>
            </w:r>
          </w:p>
        </w:tc>
        <w:tc>
          <w:tcPr>
            <w:tcW w:type="auto" w:w="77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Energy Savings Determination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20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3D4" w:sz="6" w:space="1"/>
      </w:pBdr>
      <w:spacing w:after="0" w:before="0"/>
    </w:pPr>
    <w:r>
      <w:rPr>
        <w:rFonts w:ascii="Arial" w:cs="Arial" w:eastAsia="Arial" w:hAnsi="Arial"/>
        <w:color w:val="6C757D"/>
        <w:sz w:val="15"/>
        <w:szCs w:val="15"/>
      </w:rPr>
      <w:t xml:space="preserve">Công ty TNHH Test Export  |  Ngày khảo sát: 2024-03-15  |  Trang </w:t>
    </w:r>
    <w:fldSimple w:instr="PAGE">
      <w:r>
        <w:rPr>
          <w:sz w:val="15"/>
          <w:szCs w:val="15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 w:space="1"/>
      </w:pBdr>
      <w:spacing w:after="0" w:before="0"/>
    </w:pPr>
    <w:r>
      <w:rPr>
        <w:rFonts w:ascii="Arial" w:cs="Arial" w:eastAsia="Arial" w:hAnsi="Arial"/>
        <w:b/>
        <w:bCs/>
        <w:color w:val="2E5FA3"/>
        <w:sz w:val="17"/>
        <w:szCs w:val="17"/>
      </w:rPr>
      <w:t xml:space="preserve">Đơn vị Tư vấn Test  |  </w:t>
    </w:r>
    <w:r>
      <w:rPr>
        <w:rFonts w:ascii="Arial" w:cs="Arial" w:eastAsia="Arial" w:hAnsi="Arial"/>
        <w:color w:val="6C757D"/>
        <w:sz w:val="17"/>
        <w:szCs w:val="17"/>
      </w:rPr>
      <w:t xml:space="preserve">BÁO CÁO KHẢO SÁT GAP ISO 50001:2018  |  GAP-TEST-2024-001  |  </w:t>
    </w:r>
    <w:r>
      <w:rPr>
        <w:rFonts w:ascii="Arial" w:cs="Arial" w:eastAsia="Arial" w:hAnsi="Arial"/>
        <w:b/>
        <w:bCs/>
        <w:color w:val="C0392B"/>
        <w:sz w:val="15"/>
        <w:szCs w:val="15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A3" w:sz="10" w:space="2"/>
      </w:pBdr>
      <w:spacing w:after="180" w:before="360"/>
      <w:outlineLvl w:val="0"/>
    </w:pPr>
    <w:rPr>
      <w:rFonts w:ascii="Arial" w:cs="Arial" w:eastAsia="Arial" w:hAnsi="Arial"/>
      <w:b/>
      <w:bCs/>
      <w:color w:val="1B35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0D737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2bbe763c7e1828c750d53f78550709a6fea19b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KHẢO SÁT GAP ISO 50001:2018 — GAP-TEST-2024-001</dc:title>
  <dc:creator>ISO 50001 GAP Survey Tool</dc:creator>
  <cp:lastModifiedBy>Un-named</cp:lastModifiedBy>
  <cp:revision>1</cp:revision>
  <dcterms:created xsi:type="dcterms:W3CDTF">2026-03-15T17:01:38.893Z</dcterms:created>
  <dcterms:modified xsi:type="dcterms:W3CDTF">2026-03-15T17:01:38.893Z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