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 Test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50/2010/QH12, Luật 77/2025/QH15 | Nghị định 30/2026 | TT 25/2020/TT-BCT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Công ty TNHH Test Export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GAP-TEST-2024-001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2024-03-15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Nhà máy 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3.3/5.0  |  97%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1A7A4A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EF3C7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1A7A4A"/>
          <w:sz w:val="48"/>
          <w:szCs w:val="48"/>
        </w:rPr>
        <w:t xml:space="preserve">3.3 / 5.0</w:t>
      </w:r>
      <w:r>
        <w:rPr>
          <w:rFonts w:ascii="Arial" w:cs="Arial" w:eastAsia="Arial" w:hAnsi="Arial"/>
          <w:color w:val="1A7A4A"/>
          <w:sz w:val="22"/>
          <w:szCs w:val="22"/>
        </w:rPr>
        <w:t xml:space="preserve">   |   97%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3.5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4.0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! Cần hành động trong 3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1.3. Nhận xét tổng quan của chuyên gia tư vấn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Nhận diện hộ tiêu thụ NL trọng điểm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Khảo sát các Trạm biến áp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Công ty TNHH Test Export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Nhà máy 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123 Đường Test, Quận 1, TP.HCM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Sản xuất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850 TOE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Có — bắt buộc EnMS theo Nghị định 30/2026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cấu tổ chức (số phòng ban)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Đơn vị Tư vấn Test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Nguyễn Văn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Đoàn khảo sát GAP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2024-03-15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3.5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10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Đã xác định.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Đáp ứng.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có thuộc hộ tiêu thụ NL trọng điểm Quốc gia (Nghị định 30/2026) hay không và nghĩa vụ pháp lý tương ứng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30/2026; 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3.6. Kế hoạch hành động khắc phục khoảng cách — §4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vấn đề bên trong ảnh hưởng đến EnMS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"Xác định vấn đề bên trong ảnh hưởng đến EnMS".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4.0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 vị trí Người quản lý năng lượng (EMR) theo quy định Luật 50/2010/QH12, Luật 77/2025/QH15 và TT 38/2014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EF9E7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2.0</w:t>
      </w:r>
      <w:r>
        <w:rPr>
          <w:rFonts w:ascii="Arial" w:cs="Arial" w:eastAsia="Arial" w:hAnsi="Arial"/>
          <w:color w:val="D35400"/>
          <w:sz w:val="20"/>
          <w:szCs w:val="20"/>
        </w:rPr>
        <w:t xml:space="preserve"> / 5.0  |  Mới bắt đầu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24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Cần bổ sung dữ liệu đo.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biến liên quan ảnh hưởng đến tiêu thụ NL (sản lượng, thời tiết, giờ vận hành…) và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Thứ tự ưu tiên các cơ hội cải tiến hiệu quả NL được xác định (tiêu chí, phương pháp ưu tiên hóa)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Chuẩn hóa dữ liệu NL theo biến ảnh hưởng (sản lượng, thời tiết) để thiết lập và so sánh EnPI/EnB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Độ không đảm bảo đo và hồ sơ hiệu chuẩn được quản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Hiện trạng đồng hồ đo NL (số lượng, vị trí, phủ SEU/hộ tiêu thụ) được rà soát và lập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kiểm định/hiệu chuẩn thiết bị đo (nội bộ hoặc bên ngoài), chu kỳ và đơn vị thực hiện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5.8. Kế hoạch hành động khắc phục khoảng cách — §6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Rà soát năng lượng dựa trên dữ liệu đo thực tế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Hoàn thiện và bổ sung: "Rà soát năng lượng dựa trên dữ liệu đo thực tế". Lên kế hoạch hành động cụ thể trong 90 ngày.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sở hạ tầng đo lường (đồng hồ, phần mềm) và công cụ quản lý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Công cụ và thiết bị phục vụ kiểm tra, bảo trì bảo dưỡng (dụng cụ đo, phần mềm PM, phụ tùng cơ bản) được xác định và sẵn có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và xử lý tình huống bất thường tại SEU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kiểm tra vận hành/định kỳ cho SEU và thiết bị tiêu thụ NL được lập và sử dụng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 hoặc tiêu chuẩn công đoạn có xác định các yếu tố ảnh hưởng đến NL (nhiệt độ, áp suất, thời gian chạy, tải…)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bảo dưỡng định kỳ (PM) cho thiết bị tiêu thụ NL được lập và thực hiện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Tình trạng kho vật tư dự phòng (phụ tùng, vật tư thay thế) cho thiết bị NL được quản lý, tránh dừng máy kéo dài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Phân tích và đánh giá kết quả theo dõi EnPI, mục tiêu và tuân thủ pháp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thời hạn nộp báo cáo NL, chu kỳ kiểm toán NL (3 năm)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kiểm định/hiệu chuẩn (nội bộ hoặc bên ngoài) được lưu trữ và theo dõi chu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toán năng lượng định kỳ (chu kỳ 3 năm) được thực hiện và lưu hồ sơ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50/2010/QH12, Luật 77/2025/QH15, Nghị định 30/2026, TT 25/2020/TT-BCT,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25/2020/TT-BCT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25/2020/TT-BCT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12.1. Tổng quan các khu vực / nhà xưởng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khu vực / Nhà xưởng</w:t>
            </w:r>
          </w:p>
        </w:tc>
        <w:tc>
          <w:tcPr>
            <w:tcW w:type="dxa" w:w="1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NL chính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 tiêu thụ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Tổng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SEU</w:t>
            </w:r>
          </w:p>
        </w:tc>
        <w:tc>
          <w:tcPr>
            <w:tcW w:type="dxa" w:w="13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GAP</w:t>
            </w:r>
          </w:p>
        </w:tc>
      </w:tr>
      <w:tr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</w:t>
            </w: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 Xưởng A</w:t>
            </w:r>
          </w:p>
        </w:tc>
        <w:tc>
          <w:tcPr>
            <w:tcW w:type="auto" w:w="1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45%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⚡ SEU</w:t>
            </w:r>
          </w:p>
        </w:tc>
        <w:tc>
          <w:tcPr>
            <w:tcW w:type="auto" w:w="13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3.5/5.0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12.2. Chi tiết khảo sát từng khu vực</w:t>
      </w:r>
    </w:p>
    <w:p>
      <w:pPr>
        <w:pBdr>
          <w:left w:val="single" w:color="1A7A4A" w:sz="20" w:space="3"/>
        </w:pBdr>
        <w:shd w:fill="1A7A4A" w:val="clear"/>
        <w:spacing w:after="0" w:before="130"/>
      </w:pPr>
      <w:r>
        <w:rPr>
          <w:rFonts w:ascii="Arial" w:cs="Arial" w:eastAsia="Arial" w:hAnsi="Arial"/>
          <w:sz w:val="20"/>
          <w:szCs w:val="20"/>
        </w:rPr>
        <w:t xml:space="preserve">  🏭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Xưởng A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  ⚡ SEU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   Điểm GAP: 3.5/5.0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Loại năng lượng: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NL tiêu thụ / năm: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Người vận hành: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Tiềm năng TKNL: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1 — Ngay lập tức (0–30 ngày)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Lập kế hoạch rà soát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§6.3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EMR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30 ngày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HQ; Luật 77/2025/QH15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30/2026/NĐ-CP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Nghị định 30/2026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Công ty TNHH Test Export  |  Ngày khảo sát: 2024-03-15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Đơn vị Tư vấn Test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GAP-TEST-2024-001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50001:2018 — GAP-TEST-2024-001</dc:title>
  <dc:creator>ISO 50001 GAP Survey Tool</dc:creator>
  <cp:lastModifiedBy>Un-named</cp:lastModifiedBy>
  <cp:revision>1</cp:revision>
  <dcterms:created xsi:type="dcterms:W3CDTF">2026-03-15T17:01:38.140Z</dcterms:created>
  <dcterms:modified xsi:type="dcterms:W3CDTF">2026-03-15T17:01:38.141Z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