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CONFIDENTIAL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Đơn vị Tư vấn Test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C757D"/>
          <w:sz w:val="19"/>
          <w:szCs w:val="19"/>
        </w:rPr>
        <w:t xml:space="preserve"/>
      </w:r>
    </w:p>
    <w:p>
      <w:pPr>
        <w:pBdr>
          <w:bottom w:val="single" w:color="2E5FA3" w:sz="6" w:space="1"/>
        </w:pBdr>
        <w:spacing w:after="60" w:before="60"/>
      </w:pPr>
      <w: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564"/>
          <w:sz w:val="54"/>
          <w:szCs w:val="54"/>
        </w:rPr>
        <w:t xml:space="preserve">BÁO CÁO KHẢO SÁT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PHÂN TÍCH KHOẢNG CÁCH (GAP ANALYSIS)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D7377"/>
          <w:sz w:val="24"/>
          <w:szCs w:val="24"/>
        </w:rPr>
        <w:t xml:space="preserve">Hệ thống Quản lý Năng lượng — ISO 50001:2018</w:t>
      </w:r>
    </w:p>
    <w:p>
      <w:pPr>
        <w:shd w:fill="1B3564" w:val="clear"/>
        <w:spacing w:after="0" w:before="14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ISO 50001:2018 | ISO 50006:2014 | ISO 50015:2014 | ISO 50002:2014 | ISO 50047:2016</w:t>
      </w:r>
    </w:p>
    <w:p>
      <w:pPr>
        <w:shd w:fill="1B3564" w:val="clear"/>
        <w:spacing w:after="140" w:before="0"/>
        <w:jc w:val="center"/>
      </w:pPr>
      <w:r>
        <w:rPr>
          <w:rFonts w:ascii="Arial" w:cs="Arial" w:eastAsia="Arial" w:hAnsi="Arial"/>
          <w:color w:val="A8C4E0"/>
          <w:sz w:val="18"/>
          <w:szCs w:val="18"/>
        </w:rPr>
        <w:t xml:space="preserve">Luật 50/2010/QH12, Luật 77/2025/QH15 | Nghị định 30/2026 | TT 25/2020/TT-BCT | TT 25/2020 | TT 38/2014 | QĐ 280/QĐ-TTg (VNEEP3) | NĐ 06/2022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2E5FA3" w:sz="20"/>
          <w:right w:val="single" w:color="2E5FA3" w:sz="20"/>
        </w:pBdr>
        <w:shd w:fill="EAF2FA" w:val="clear"/>
        <w:spacing w:after="0" w:before="60"/>
        <w:jc w:val="center"/>
      </w:pPr>
      <w:r>
        <w:rPr>
          <w:rFonts w:ascii="Arial" w:cs="Arial" w:eastAsia="Arial" w:hAnsi="Arial"/>
          <w:b/>
          <w:bCs/>
          <w:color w:val="2E5FA3"/>
          <w:sz w:val="17"/>
          <w:szCs w:val="17"/>
        </w:rPr>
        <w:t xml:space="preserve">ĐƠN VỊ ĐƯỢC KHẢO SÁT:</w:t>
      </w:r>
    </w:p>
    <w:p>
      <w:pPr>
        <w:pBdr>
          <w:left w:val="single" w:color="2E5FA3" w:sz="20"/>
          <w:right w:val="single" w:color="2E5FA3" w:sz="20"/>
        </w:pBdr>
        <w:shd w:fill="EAF2FA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1B3564"/>
          <w:sz w:val="28"/>
          <w:szCs w:val="28"/>
        </w:rPr>
        <w:t xml:space="preserve">Công ty TNHH Test Export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564" w:sz="6" w:space="1"/>
        </w:pBdr>
        <w:spacing w:after="60" w:before="60"/>
      </w:pPr>
      <w:r>
        <w:t xml:space="preserve"/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Mã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GAP-TEST-2024-001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Ngày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2024-03-15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Phiên bản: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v1.0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Cơ sở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Nhà máy 1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Tiếp cận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Rủi ro | Quá trình | Nhà xưởng/Thiết bị | Điều khoản §4–§10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Điểm GAP tổng thể: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3.3/5.0  |  97% điều khoản cần cải thiện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Mục tiêu tư vấn: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Phân tích khoảng cách — Xây dựng &amp; đạt chứng nhận ISO 50001:2018</w:t>
      </w:r>
    </w:p>
    <w:p>
      <w:pPr>
        <w:pBdr>
          <w:bottom w:val="single" w:color="1B3564" w:sz="6" w:space="1"/>
        </w:pBdr>
        <w:spacing w:after="60" w:before="60"/>
      </w:pPr>
      <w:r>
        <w:t xml:space="preserve"/>
      </w:r>
    </w:p>
    <w:p>
      <w:r>
        <w:br w:type="page"/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1. TÓM TẮT ĐIỀU HÀNH (EXECUTIVE SUMMARY)</w:t>
      </w:r>
    </w:p>
    <w:p>
      <w:pPr>
        <w:shd w:fill="1A7A4A" w:val="clear"/>
        <w:spacing w:after="0" w:before="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ĐIỂM GAP TỔNG THỂ</w:t>
      </w:r>
    </w:p>
    <w:p>
      <w:pPr>
        <w:shd w:fill="FEF3C7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1A7A4A"/>
          <w:sz w:val="48"/>
          <w:szCs w:val="48"/>
        </w:rPr>
        <w:t xml:space="preserve">3.3 / 5.0</w:t>
      </w:r>
      <w:r>
        <w:rPr>
          <w:rFonts w:ascii="Arial" w:cs="Arial" w:eastAsia="Arial" w:hAnsi="Arial"/>
          <w:color w:val="1A7A4A"/>
          <w:sz w:val="22"/>
          <w:szCs w:val="22"/>
        </w:rPr>
        <w:t xml:space="preserve">   |   97% điều khoản cần cải thiện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1.1. Điểm GAP theo điều khoản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300"/>
        <w:gridCol w:w="13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3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TB</w:t>
            </w:r>
          </w:p>
        </w:tc>
        <w:tc>
          <w:tcPr>
            <w:tcW w:type="dxa" w:w="13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Nhận xét ưu tiên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Bối cảnh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3.5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7"/>
                <w:szCs w:val="17"/>
              </w:rPr>
              <w:t xml:space="preserve">✓ Tốt — duy trì và cải tiến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Lãnh đạo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4.0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7"/>
                <w:szCs w:val="17"/>
              </w:rPr>
              <w:t xml:space="preserve">✓ Tốt — duy trì và cải tiến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Hoạch định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2.0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Mới bắt đầu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! Cần hành động trong 3 tháng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Hỗ trợ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Vận hành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§9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Đánh giá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§10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Cải tiến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1.2. Thống kê tổng hợp khoảng cách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 khoảng cách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Số lượng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Khuyến nghị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Nghiêm trọng (Score 1)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DEDEC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0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Hoàn toàn chưa triển khai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Hành động ngay — Blocking certification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Lớn (Score 2)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Mới bắt đầu/không đầy đủ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Kế hoạch hành động trong 30-90 ngày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Nhỏ (Score 3)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Đang phát triển, chưa hoàn thiện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Cải thiện trong 3-6 tháng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Phù hợp (Score 4-5)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Đáp ứng yêu cầu cơ bản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Duy trì và cải tiến liên tục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1.3. Nhận xét tổng quan của chuyên gia tư vấn</w:t>
      </w:r>
    </w:p>
    <w:p>
      <w:pPr>
        <w:spacing w:after="80" w:before="60" w:line="308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Nhận diện hộ tiêu thụ NL trọng điểm</w:t>
      </w:r>
    </w:p>
    <w:p>
      <w:pPr>
        <w:spacing w:after="80" w:before="60" w:line="308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Khảo sát các Trạm biến áp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2. THÔNG TIN CHUNG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2.1. Thông tin tổ chức được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Tên tổ chức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Công ty TNHH Test Export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Tên cơ sở / Nhà máy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Nhà máy 1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Địa chỉ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123 Đường Test, Quận 1, TP.HCM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Ngành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Sản xuất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Quy mô (CBCNV)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NL tiêu thụ/năm (TOE)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850 TOE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Cơ sở trọng điểm?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 Có — bắt buộc EnMS theo Nghị định 30/2026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Tình trạng chứng nhận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Chưa có chứng nhận ISO 50001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Cơ cấu tổ chức (số phòng ban)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2.2. Thông tin đoàn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Đơn vị tư vấn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Đơn vị Tư vấn Test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Trưởng đoàn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Nguyễn Văn A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Thành viên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Đoàn khảo sát GAP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Chứng chỉ EA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Ngày khảo sát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2024-03-15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Mục tiêu khảo sát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Phân tích khoảng cách — Xây dựng &amp; đạt chứng nhận ISO 50001:2018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Phương pháp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Phỏng vấn | Xem xét tài liệu | Quan sát thực địa | Đo lường tại SEU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Tiêu chuẩn áp dụng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 50001:2018; ISO 50006:2014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3. ĐÁNH GIÁ §4 — BỐI CẢNH TỔ CHỨC</w:t>
      </w:r>
    </w:p>
    <w:p>
      <w:pPr>
        <w:shd w:fill="E9F7EF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3.5</w:t>
      </w:r>
      <w:r>
        <w:rPr>
          <w:rFonts w:ascii="Arial" w:cs="Arial" w:eastAsia="Arial" w:hAnsi="Arial"/>
          <w:color w:val="1A7A4A"/>
          <w:sz w:val="20"/>
          <w:szCs w:val="20"/>
        </w:rPr>
        <w:t xml:space="preserve"> / 5.0  |  Phần lớn đáp ứng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10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B7770D" w:sz="18" w:space="3"/>
        </w:pBdr>
        <w:shd w:fill="FEF3C7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  4.1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Hiểu biết về tổ chức và bối cảnh</w:t>
      </w:r>
      <w:r>
        <w:rPr>
          <w:rFonts w:ascii="Arial" w:cs="Arial" w:eastAsia="Arial" w:hAnsi="Arial"/>
          <w:b/>
          <w:bCs/>
          <w:color w:val="B7770D"/>
          <w:sz w:val="17"/>
          <w:szCs w:val="17"/>
        </w:rPr>
        <w:t xml:space="preserve">   [Điểm: 3.0/5.0 — Đang phát triển]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vấn đề bên trong ảnh hưởng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Đang phát triển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Đã xác định.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vấn đề bên ngoài ảnh hưởng đến EnMS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Xem xét định kỳ bối cảnh (ít nhất mỗi xem xét lãnh đạo)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1A7A4A" w:sz="18" w:space="3"/>
        </w:pBdr>
        <w:shd w:fill="E9F7EF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  4.2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Các bên liên quan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 [Điểm: 4.0/5.0 — Phần lớn đáp ứng]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danh sách các bên liên quan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yêu cầu pháp lý áp dụng và cam kết khác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Đáp ứng.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Cập nhật danh sách yêu cầu pháp lý định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có thuộc hộ tiêu thụ NL trọng điểm Quốc gia (Nghị định 30/2026) hay không và nghĩa vụ pháp lý tương ứng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[Nghị định 30/2026; 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Phạm vi EnMS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Phạm vi EnMS được lập thành văn bản rõ ràng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Ranh giới vật lý và địa lý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Các loại năng lượng trong phạm vi được liệt kê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Hệ thống EnMS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EnMS được thiết lập theo yêu cầu ISO 50001:2018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4.4.2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EnMS được tích hợp vào quá trình kinh doanh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3.6. Kế hoạch hành động khắc phục khoảng cách — §4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2800"/>
        <w:gridCol w:w="1000"/>
        <w:gridCol w:w="9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 hành động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</w:tr>
      <w:tr>
        <w:tc>
          <w:tcPr>
            <w:tcW w:type="auto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4.1.1</w:t>
            </w:r>
          </w:p>
        </w:tc>
        <w:tc>
          <w:tcPr>
            <w:tcW w:type="auto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Xác định vấn đề bên trong ảnh hưởng đến EnMS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Đang phát triển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Cải thiện và chuẩn hóa: "Xác định vấn đề bên trong ảnh hưởng đến EnMS". Xem xét trong chu kỳ cải tiến tiếp theo (6 tháng).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6"/>
                <w:szCs w:val="16"/>
              </w:rPr>
              <w:t xml:space="preserve">180 ngày</w:t>
            </w:r>
          </w:p>
        </w:tc>
        <w:tc>
          <w:tcPr>
            <w:tcW w:type="auto" w:w="9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🟢 6T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4. ĐÁNH GIÁ §5 — LÃNH ĐẠO</w:t>
      </w:r>
    </w:p>
    <w:p>
      <w:pPr>
        <w:shd w:fill="E9F7EF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4.0</w:t>
      </w:r>
      <w:r>
        <w:rPr>
          <w:rFonts w:ascii="Arial" w:cs="Arial" w:eastAsia="Arial" w:hAnsi="Arial"/>
          <w:color w:val="1A7A4A"/>
          <w:sz w:val="20"/>
          <w:szCs w:val="20"/>
        </w:rPr>
        <w:t xml:space="preserve"> / 5.0  |  Phần lớn đáp ứng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12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1A7A4A" w:sz="18" w:space="3"/>
        </w:pBdr>
        <w:shd w:fill="E9F7EF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  5.1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Lãnh đạo và cam kết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 [Điểm: 4.0/5.0 — Phần lớn đáp ứng]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cao nhất cam kết bằng văn bản với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Ngân sách / nguồn lực tài chính cho EnMS được phê duyệt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hỗ trợ các vai trò quản lý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thúc đẩy cải tiến liên tục hiệu quả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5.2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Chính sách năng lượng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năng lượng được ban hành bởi lãnh đạo cao nhất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cam kết cải tiến liên tục hiệu quả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cam kết đáp ứng yêu cầu pháp lý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được truyền đạt đến toàn bộ nhân viên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được phổ biến cho các nhà thầu liên quan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5.3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Vai trò và trách nhiệm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EMR (Energy Management Representative) được bổ nhiệm bằng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§7; TT 38/2014]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Nhóm quản lý năng lượng được thành lập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§7]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Vai trò, trách nhiệm được lập thành tài liệu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Có vị trí Người quản lý năng lượng (EMR) theo quy định Luật 50/2010/QH12, Luật 77/2025/QH15 và TT 38/2014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77/2025/QH15; TT 38/2014]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5. ĐÁNH GIÁ §6 — HOẠCH ĐỊNH</w:t>
      </w:r>
    </w:p>
    <w:p>
      <w:pPr>
        <w:shd w:fill="FEF9E7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2.0</w:t>
      </w:r>
      <w:r>
        <w:rPr>
          <w:rFonts w:ascii="Arial" w:cs="Arial" w:eastAsia="Arial" w:hAnsi="Arial"/>
          <w:color w:val="D35400"/>
          <w:sz w:val="20"/>
          <w:szCs w:val="20"/>
        </w:rPr>
        <w:t xml:space="preserve"> / 5.0  |  Mới bắt đầu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24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Rủi ro và cơ hội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Rủi ro và cơ hội của EnMS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hành động giải quyết rủi ro được lập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Mục tiêu NL và kế hoạch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Mục tiêu năng lượng được thiết lập (đo lường được, có thời hạn)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§9; QĐ 280/QĐ-TTg]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hành động chi tiết để đạt mục tiêu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Nguồn lực, người chịu TN và thời hạn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D35400" w:sz="18" w:space="3"/>
        </w:pBdr>
        <w:shd w:fill="FEF9E7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D35400"/>
          <w:sz w:val="20"/>
          <w:szCs w:val="20"/>
        </w:rPr>
        <w:t xml:space="preserve">  6.3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Rà soát năng lượng</w:t>
      </w:r>
      <w:r>
        <w:rPr>
          <w:rFonts w:ascii="Arial" w:cs="Arial" w:eastAsia="Arial" w:hAnsi="Arial"/>
          <w:b/>
          <w:bCs/>
          <w:color w:val="D35400"/>
          <w:sz w:val="17"/>
          <w:szCs w:val="17"/>
        </w:rPr>
        <w:t xml:space="preserve">   [Điểm: 2.0/5.0 — Mới bắt đầu]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Rà soát năng lượng dựa trên dữ liệu đo thực tế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 §5; TT 25/2020/TT-BCT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Mới bắt đầu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Cần bổ sung dữ liệu đo.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SEU (Significant Energy Uses) được xác định và lập thành tài liệu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Cơ hội cải tiến hiệu quả NL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Biến tĩnh (static variables) ảnh hưởng đến NL được phân tích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Rà soát năng lượng được cập nhật định kỳ hoặc khi có thay đổi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biến liên quan ảnh hưởng đến tiêu thụ NL (sản lượng, thời tiết, giờ vận hành…) và lập thành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6.3.9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Thứ tự ưu tiên các cơ hội cải tiến hiệu quả NL được xác định (tiêu chí, phương pháp ưu tiên hóa)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Chỉ số EnPI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EnPI được thiết lập phù hợp để theo dõi EnPI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Phương pháp xác định EnPI được lập thành tài liệu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EnPI được so sánh với EnB và phân tích xu hướng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6.5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Đường cơ sở EnB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EnB được thiết lập với thời kỳ cơ sở đại diện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 §9]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Phương pháp điều chỉnh EnB khi biến tĩnh thay đổi &gt;10%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Chuẩn hóa dữ liệu NL theo biến ảnh hưởng (sản lượng, thời tiết) để thiết lập và so sánh EnPI/EnB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6.6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Kế hoạch thu thập dữ liệu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thu thập dữ liệu NL được lập thành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§11]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Người chịu TN và tần suất đo lường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Thiết bị đo lường được hiệu chuẩn theo lịch định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§11]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Độ không đảm bảo đo và hồ sơ hiệu chuẩn được quản lý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Hiện trạng đồng hồ đo NL (số lượng, vị trí, phủ SEU/hộ tiêu thụ) được rà soát và lập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kiểm định/hiệu chuẩn thiết bị đo (nội bộ hoặc bên ngoài), chu kỳ và đơn vị thực hiện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5.8. Kế hoạch hành động khắc phục khoảng cách — §6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2800"/>
        <w:gridCol w:w="1000"/>
        <w:gridCol w:w="9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 hành động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</w:tr>
      <w:tr>
        <w:tc>
          <w:tcPr>
            <w:tcW w:type="auto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6.3.1</w:t>
            </w:r>
          </w:p>
        </w:tc>
        <w:tc>
          <w:tcPr>
            <w:tcW w:type="auto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Rà soát năng lượng dựa trên dữ liệu đo thực tế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Mới bắt đầu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Hoàn thiện và bổ sung: "Rà soát năng lượng dựa trên dữ liệu đo thực tế". Lên kế hoạch hành động cụ thể trong 90 ngày.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6"/>
                <w:szCs w:val="16"/>
              </w:rPr>
              <w:t xml:space="preserve">90 ngày</w:t>
            </w:r>
          </w:p>
        </w:tc>
        <w:tc>
          <w:tcPr>
            <w:tcW w:type="auto" w:w="9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🟡 3T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6. ĐÁNH GIÁ §7 — HỖ TRỢ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11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Nguồn lực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Nguồn lực cho EnMS được xác định và cung cấp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Cơ sở hạ tầng đo lường (đồng hồ, phần mềm) và công cụ quản lý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Công cụ và thiết bị phục vụ kiểm tra, bảo trì bảo dưỡng (dụng cụ đo, phần mềm PM, phụ tùng cơ bản) được xác định và sẵn có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Năng lực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Năng lực yêu cầu cho các vị trí ảnh hưởng EnPI được xác định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đào tạo nhân viên liên quan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năng lực và đào tạo được lưu trữ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Nhận thức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Nhân viên nhận thức được chính sách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Nhân viên hiểu đóng góp cá nhân đến tiêu thụ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Trao đổi thông tin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Quy trình trao đổi thông tin nội bộ về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7.5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Thông tin dạng văn bản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7.5.1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Tài liệu bắt buộc theo ISO 50001 đầy đủ và được kiểm soát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7.5.2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được lưu trữ và bảo mật theo quy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7. ĐÁNH GIÁ §8 — VẬN HÀNH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11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Kiểm soát vận hành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Tiêu chí vận hành cho các SEU được thiết lập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Kiểm soát vận hành được thực hiện (SOP, check-list)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Yêu cầu NL được truyền đạt cho nhà thầu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bảo trì và xử lý tình huống bất thường tại SEU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Checklist kiểm tra vận hành/định kỳ cho SEU và thiết bị tiêu thụ NL được lập và sử dụng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SOP hoặc tiêu chuẩn công đoạn có xác định các yếu tố ảnh hưởng đến NL (nhiệt độ, áp suất, thời gian chạy, tải…)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bảo trì bảo dưỡng định kỳ (PM) cho thiết bị tiêu thụ NL được lập và thực hiện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Tình trạng kho vật tư dự phòng (phụ tùng, vật tư thay thế) cho thiết bị NL được quản lý, tránh dừng máy kéo dài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Thiết kế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Hiệu quả NL được xem xét trong thiết kế/sửa đổi thiết bị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Mua sắm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Tiêu chí NL trong đánh giá nhà cung cấp thiết bị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36/2016 Nhãn NL]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Ưu tiên thiết bị có nhãn năng lượng 4-5 sao hoặc MEPS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36/2016; QĐ 2395/QĐ-BCT]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8. ĐÁNH GIÁ §9 — ĐÁNH GIÁ KẾT QUẢ THỰC HIỆN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13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Theo dõi và đo lường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 dõi EnPI định kỳ và ghi nhận kết quả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§18; TT 25/2020]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 sánh EnPI với EnB và phân tích xu hướng cải tiến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Báo cáo sử dụng NL hàng năm nộp cho cơ quan quản lý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Thiết bị đo lường được hiệu chuẩn và ghi nhận sai số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Phân tích và đánh giá kết quả theo dõi EnPI, mục tiêu và tuân thủ pháp lý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 dõi thời hạn nộp báo cáo NL, chu kỳ kiểm toán NL (3 năm) — pháp lý VN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kiểm định/hiệu chuẩn (nội bộ hoặc bên ngoài) được lưu trữ và theo dõi chu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Kiểm toán năng lượng định kỳ (chu kỳ 3 năm) được thực hiện và lưu hồ sơ — pháp lý VN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Đánh giá nội bộ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Chương trình đánh giá nội bộ EnMS hàng năm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50003:2014]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Đánh giá viên nội bộ có năng lực và độc lập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Kết quả đánh giá nội bộ được báo cáo cho lãnh đạo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Xem xét lãnh đạo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Xem xét lãnh đạo được thực hiện định kỳ (ít nhất 1 lần/năm)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Đầu ra xem xét lãnh đạo được lập thành hồ sơ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9. ĐÁNH GIÁ §10 — CẢI TIẾN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4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10.1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Không phù hợp và CAR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Quy trình xử lý sự không phù hợp và hành động khắc phục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NC và CAR được lưu trữ đầy đủ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10.2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Cải tiến liên tục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Cải tiến liên tục EnMS và hiệu quả NL được chứng minh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[QĐ 280/QĐ-TTg VNEEP3]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Xu hướng cải tiến EnPI được ghi nhận qua ít nhất 2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50021:2019]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10. ĐÁNH GIÁ RỦI RO THEO CÁCH TIẾP CẬN RỦI RO (Risk-Based Approach)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Đánh giá rủi ro theo ISO 50001:2018 §6.1 — Xác định rủi ro và cơ hội ảnh hưởng đến EnMS và khả năng đạt chứng nhận. Mức độ rủi ro = Khả năng xảy ra × Mức độ ảnh hưởng (thang 1–5).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10.1. Thang đánh giá rủi 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2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 × I</w:t>
            </w:r>
          </w:p>
        </w:tc>
        <w:tc>
          <w:tcPr>
            <w:tcW w:type="dxa" w:w="4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 rủi ro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1–2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1–2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1A7A4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1–4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🟢 THẤP — Chấp nhận được, theo dõi định kỳ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1–3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2–3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5–8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🟡 TRUNG BÌNH — Cần kiểm soát, lập kế hoạch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2–4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3–4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9–15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🟠 CAO — Hành động trong 3 tháng, giao người phụ trách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4–5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4–5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16–25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🔴 NGHIÊM TRỌNG — Hành động ngay, report lãnh đạo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C0392B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RISK-LEG  Tuân thủ pháp lý &amp; Quy định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không đáp ứng yêu cầu Luật 50/2010/QH12, Luật 77/2025/QH15, Nghị định 30/2026, TT 25/2020/TT-BCT, TT 25/2020 và các văn bản liên quan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Chưa xác định cơ sở thuộc diện trọng điểm (≥1000 TOE/năm)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25/2020/TT-BCT Điều 4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nộp báo cáo NL hàng năm cho BCT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25/2020/TT-BCT Điều 18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thực hiện kiểm toán NL theo chu kỳ 3 năm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 Điều 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EMR chưa có chứng chỉ quản lý NL theo TT 38/2014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38/2014 Điều 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Thiết bị không đáp ứng MEPS / chưa có nhãn NL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36/2016; QĐ 2395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lập kế hoạch sử dụng NL và TKNL hàng năm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25/2020/TT-BCT Điều 9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RL-07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Chưa đăng ký phát thải KNK theo NĐ 06/2022 (nếu ≥3000 tCO₂e)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NĐ 06/2022 Điều 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D35400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RISK-OPS  Rủi ro vận hành &amp; Kỹ thuật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từ hoạt động vận hành, thiết bị và kiểm soát quá trình tiêu thụ NL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SEU vận hành ngoài dải tối ưu gây tiêu hao NL cao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Thiết bị lớn tuổi, hiệu suất thấp không được lên kế hoạch thay thế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§8.2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kiểm soát rò rỉ hơi, khí nén, nước làm mát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Vận hành thiết bị không tải gây lãng phí NL đáng kể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bảo trì dự phòng làm giảm hiệu suất thiết bị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Thiếu hệ thống giám sát NL real-time (SCADA/EMS)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§9.1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1A7A4A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RISK-DATA  Rủi ro dữ liệu &amp; Đo lường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về độ tin cậy và tính đầy đủ của dữ liệu năng lượng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Đồng hồ đo điện/nhiệt chưa hiệu chuẩn hoặc hư hỏng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§6.6; §9.1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Dữ liệu NL chỉ ở cấp nhà máy, không phân vùng SEU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§6.3; §6.6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 chưa được hiệu chỉnh theo biến sản xuất và thời tiết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50006:2014 §5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Dữ liệu NL không đủ 12 tháng để xác lập EnB tin cậy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Sai số tích lũy trong tính toán tiết kiệm NL không được quản lý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50047:2016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6C3483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RISK-ORG  Rủi ro tổ chức &amp; Con người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từ năng lực, nhận thức và văn hóa tiết kiệm năng lượng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Thiếu nhân sự chuyên trách quản lý NL (full-time EMR)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Nhân viên vận hành thiếu kiến thức về TKNL tại SEU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§7.2; §7.3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cơ chế khuyến khích TKNL cho nhân viên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§7.3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Thay đổi nhân sự chủ chốt EnMS làm gián đoạn hệ thống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Nhà thầu vào làm không được truyền đạt yêu cầu EnMS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2471A3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RISK-STRAT  Rủi ro chiến lược &amp; Tài chính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về đầu tư, chi phí năng lượng và mục tiêu dài hạn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Chi phí NL tăng đột biến ảnh hưởng nghiêm trọng lợi nhuận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ngân sách cho dự án EIP ưu tiên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§5.1; §7.1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Áp lực CBAM/EU Green Deal ảnh hưởng xuất khẩu (tương lai)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NĐ 06/2022; CBAM EU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Mục tiêu TKNL VNEEP3 không đạt dẫn đến xử phạt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QĐ 280/QĐ-TTg; NĐ 98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11. ĐÁNH GIÁ THEO CÁCH TIẾP CẬN QUÁ TRÌNH (Process Approach)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Phân tích khoảng cách theo từng quá trình cốt lõi của EnMS dựa trên ISO 50001:2018 Phụ lục A và ISO 50004:2014, xác định đầu vào, đầu ra và tương tác giữa các quá trình.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11.1. Tổng quan khoảng cách theo quá trình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400"/>
        <w:gridCol w:w="800"/>
        <w:gridCol w:w="1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quá trình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chủ sở hữu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28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Nhận xét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Lập kế hoạch NL hàng năm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Ban lãnh đạo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Rà soát năng lượng (Energy Review)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Nhóm kỹ thuật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Thiết lập và theo dõi EnPI / EnB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Kiểm soát vận hành tại SEU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Ca trưởng vận hành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Mua sắm thiết bị &amp; Dịch vụ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Phòng Mua hàng + Kỹ thuật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Đào tạo và nâng cao nhận thức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Phòng Nhân sự + EMR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PR-07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Đánh giá nội bộ EnMS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Đánh giá viên nội bộ (độc lập)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PR-08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Xem xét lãnh đạo (Management Review)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Lãnh đạo cao nhất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PR-09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Xử lý NC và hành động khắc phục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Bộ phận liên quan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11.2. Chi tiết đánh giá từng quá trình</w:t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PR-01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Lập kế hoạch NL hàng năm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tiêu thụ NL năm trước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sản xuất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Biến động giá NL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TKNL hàng năm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Ngân sách EnMS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Mục tiêu EnPI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§6.2 | TT 25/2020/TT-BCT §9 | QĐ 280/QĐ-TTg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PR-02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Rà soát năng lượng (Energy Review)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 hoặc khi thay đổi đáng kể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Hóa đơn điện/nhiệt liệu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đo lường phân vùng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sản xuất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rà soát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Cơ hội cải tiến NL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§6.3 | ISO 50002:2014 | TT 25/2020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PR-03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Thiết lập và theo dõi EnPI / EnB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tháng (đo) / Hàng năm (cập nhật EnB)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đo lường tại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sản xuất (biến tĩnh)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EnB kỳ trước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Dashboard EnPI hàng tháng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xu hướng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Cảnh báo lệch EnB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§6.4 | ISO 50001 §6.5 | ISO 50006:2014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PR-04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Kiểm soát vận hành tại SEU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Liên tục / Hàng 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SOP vận hành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Tiêu chí NL tối ưu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Check-list ca làm việc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Nhật ký vận hành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sự cố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thực tế SEU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§8.1 | ISO 50001 §6.6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PR-05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Mua sắm thiết bị &amp; Dịch vụ NL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Theo nhu cầu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Tiêu chí NL cho thiết bị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MEPS / Nhãn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Thông số kỹ thuật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Hợp đồng mua sắm có tiêu chí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Thiết bị đáp ứng MEPS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đánh giá nhà cung cấp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§8.3 | TT 36/2016 | QĐ 2395/QĐ-BCT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PR-06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Đào tạo và nâng cao nhận thức NL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 + khi có yêu cầu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đào tạo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vị trí ảnh hưởng EnPI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Nội dung EnMS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đào tạo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Kết quả kiểm tra năng lực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Nhân viên nhận thức EnMS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§7.2 | ISO 50001 §7.3 | TT 38/2014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PR-07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Đánh giá nội bộ EnMS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Ít nhất 1 lần/năm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Chương trình đánh giá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EnMS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EnPI trends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Checklist §4-§10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đánh giá nội bộ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NC/OFI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CAR (Corrective Action Report)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§9.2 | ISO 50003:2014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PR-08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Xem xét lãnh đạo (Management Review)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Ít nhất 1 lần/năm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Kết quả đánh giá nội bộ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EnPI trends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Tuân thủ pháp lý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Khiếu nại/phản hồi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Biên bản xem xét lãnh đạo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Quyết định về nguồn lực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Mục tiêu NL kỳ mới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§9.3 | TT 25/2020/TT-BCT §20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PR-09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Xử lý NC và hành động khắc phục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Khi phát sinh 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Phát hiện NC từ đánh giá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Khiếu nại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Sự cố vận hành NL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CAR đã đóng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NC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Cập nhật quy trình / tài liệu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§10.1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12. KHẢO SÁT HIỆN TRƯỜNG — NHÀ XƯỞNG, KHU VỰC VÀ THIẾT BỊ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Khảo sát thực địa tại từng khu vực/thiết bị nhằm xác định SEU (Khu vực sử dụng NL đáng kể), hiệu suất thực tế và cơ hội cải tiến theo ISO 50001:2018 §6.3 &amp; §8.1.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12.1. Tổng quan các khu vực / nhà xưởng được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800"/>
        <w:gridCol w:w="1200"/>
        <w:gridCol w:w="10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khu vực / Nhà xưởng</w:t>
            </w:r>
          </w:p>
        </w:tc>
        <w:tc>
          <w:tcPr>
            <w:tcW w:type="dxa" w:w="1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 NL chính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NL tiêu thụ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Tổng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SEU</w:t>
            </w:r>
          </w:p>
        </w:tc>
        <w:tc>
          <w:tcPr>
            <w:tcW w:type="dxa" w:w="13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GAP</w:t>
            </w:r>
          </w:p>
        </w:tc>
      </w:tr>
      <w:tr>
        <w:tc>
          <w:tcPr>
            <w:tcW w:type="auto" w:w="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</w:t>
            </w: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 Xưởng A</w:t>
            </w:r>
          </w:p>
        </w:tc>
        <w:tc>
          <w:tcPr>
            <w:tcW w:type="auto" w:w="1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Điện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500 MWh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45%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⚡ SEU</w:t>
            </w:r>
          </w:p>
        </w:tc>
        <w:tc>
          <w:tcPr>
            <w:tcW w:type="auto" w:w="13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3.5/5.0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12.2. Chi tiết khảo sát từng khu vực</w:t>
      </w:r>
    </w:p>
    <w:p>
      <w:pPr>
        <w:pBdr>
          <w:left w:val="single" w:color="1A7A4A" w:sz="20" w:space="3"/>
        </w:pBdr>
        <w:shd w:fill="1A7A4A" w:val="clear"/>
        <w:spacing w:after="0" w:before="130"/>
      </w:pPr>
      <w:r>
        <w:rPr>
          <w:rFonts w:ascii="Arial" w:cs="Arial" w:eastAsia="Arial" w:hAnsi="Arial"/>
          <w:sz w:val="20"/>
          <w:szCs w:val="20"/>
        </w:rPr>
        <w:t xml:space="preserve">  🏭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Xưởng A</w:t>
      </w: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  ⚡ SEU</w:t>
      </w:r>
      <w:r>
        <w:rPr>
          <w:rFonts w:ascii="Arial" w:cs="Arial" w:eastAsia="Arial" w:hAnsi="Arial"/>
          <w:color w:val="1A7A4A"/>
          <w:sz w:val="18"/>
          <w:szCs w:val="18"/>
        </w:rPr>
        <w:t xml:space="preserve">   Điểm GAP: 3.5/5.0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25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Loại năng lượng: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Điện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25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NL tiêu thụ / năm: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500 MWh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25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Người vận hành: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25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Tiềm năng TKNL: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13. MASTER ACTION PLAN — LỘ TRÌNH KHẮC PHỤC KHOẢNG CÁCH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Kế hoạch hành động tổng thể để đóng khoảng cách, xây dựng EnMS đạt tiêu chuẩn ISO 50001:2018 và chuẩn bị chứng nhận.</w:t>
      </w:r>
    </w:p>
    <w:p>
      <w:pPr>
        <w:shd w:fill="C0392B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Giai đoạn 1 — Ngay lập tức (0–30 ngày)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400"/>
        <w:gridCol w:w="2900"/>
        <w:gridCol w:w="1400"/>
        <w:gridCol w:w="1200"/>
        <w:gridCol w:w="1200"/>
        <w:gridCol w:w="1880"/>
      </w:tblGrid>
      <w:tr>
        <w:trPr>
          <w:tblHeader/>
        </w:trPr>
        <w:tc>
          <w:tcPr>
            <w:tcW w:type="dxa" w:w="38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Hành động / Dự án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TN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88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Nguồn lực</w:t>
            </w:r>
          </w:p>
        </w:tc>
      </w:tr>
      <w:tr>
        <w:tc>
          <w:tcPr>
            <w:tcW w:type="auto" w:w="3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auto" w:w="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AP-01</w:t>
            </w:r>
          </w:p>
        </w:tc>
        <w:tc>
          <w:tcPr>
            <w:tcW w:type="auto" w:w="2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Lập kế hoạch rà soát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A08A"/>
                <w:sz w:val="16"/>
                <w:szCs w:val="16"/>
              </w:rPr>
              <w:t xml:space="preserve">§6.3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EMR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30 ngày</w:t>
            </w:r>
          </w:p>
        </w:tc>
        <w:tc>
          <w:tcPr>
            <w:tcW w:type="auto" w:w="18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LỘ TRÌNH TƯ VẤN CHỨNG NHẬN ISO 50001:2018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Mốc thời gian</w:t>
            </w:r>
          </w:p>
        </w:tc>
        <w:tc>
          <w:tcPr>
            <w:tcW w:type="dxa" w:w="2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Hoạt động chính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Đầu ra kỳ vọng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Tiêu chí hoàn thành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T+0 → T+1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Đóng khoảng cách nghiêm trọng (Score 1)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Tài liệu EnMS cơ bản hoàn chỉnh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Không còn NC Score 1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T+1 → T+3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Xây dựng đầy đủ EnMS §4–§10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EnB, EnPI, SEU, Chính sách NL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Score trung bình ≥ 3.5/5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T+3 → T+6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Vận hành EnMS và thu thập bằng chứng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Hồ sơ vận hành 3+ tháng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Bằng chứng thực tế tại SEU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T+6 → T+9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Đánh giá nội bộ + Action khắc phục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Báo cáo đánh giá nội bộ, CAR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Tất cả NC được đóng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T+9 → T+12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Đánh giá chứng nhận (Stage 1 + Stage 2)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Chứng nhận ISO 50001:2018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Không có NC Major từ CBTT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14. BẰNG CHỨNG THEO ĐIỀU KHOẢN ĐÁNH GIÁ</w:t>
      </w:r>
    </w:p>
    <w:p>
      <w:pPr>
        <w:spacing w:after="9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8"/>
          <w:szCs w:val="18"/>
        </w:rPr>
        <w:t xml:space="preserve">Các tài liệu và ảnh bằng chứng thu thập tại hiện trường (chọn file / Camera Laptop / đồng bộ điện thoại qua Socket.IO), gắn với từng điều khoản. Ảnh bố trí theo bảng 2 cột.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§4.1.1 — 3 bằng chứng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[File không tồn tại: img1.jpg]</w:t>
            </w:r>
          </w:p>
        </w:tc>
        <w:tc>
          <w:tcPr>
            <w:tcW w:type="dxa" w:w="46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[File không tồn tại: img2.png]</w:t>
            </w:r>
          </w:p>
        </w:tc>
      </w:tr>
      <w:tr>
        <w:tc>
          <w:tcPr>
            <w:tcW w:type="dxa" w:w="46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5"/>
                <w:szCs w:val="15"/>
              </w:rPr>
              <w:t xml:space="preserve">[File không tồn tại: img3.jpg]</w:t>
            </w:r>
          </w:p>
        </w:tc>
        <w:tc>
          <w:tcPr>
            <w:tcW w:type="dxa" w:w="46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§4.2.1 — 1 bằng chứng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Tài liệu đính kèm</w:t>
            </w:r>
          </w:p>
        </w:tc>
        <w:tc>
          <w:tcPr>
            <w:tcW w:type="dxa" w:w="46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Ghi chú</w:t>
            </w:r>
          </w:p>
        </w:tc>
      </w:tr>
      <w:tr>
        <w:tc>
          <w:tcPr>
            <w:tcW w:type="dxa" w:w="46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📄 Quy trình.pdf</w:t>
            </w:r>
          </w:p>
        </w:tc>
        <w:tc>
          <w:tcPr>
            <w:tcW w:type="dxa" w:w="46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Tài liệu đính kèm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15. PHỤ LỤC — ĐĂNG KÝ TUÂN THỦ PHÁP LÝ VÀ TIÊU CHUẨN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A.1. Pháp luật Việt Nam — Mức độ tuân thủ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1400"/>
        <w:gridCol w:w="1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Văn bản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 chính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Ngưỡng</w:t>
            </w:r>
          </w:p>
        </w:tc>
        <w:tc>
          <w:tcPr>
            <w:tcW w:type="dxa" w:w="1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Luật 50/2010/QH12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Luật Sử dụng NL tiết kiệm và HQ; Luật 77/2025/QH15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Luật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4–7, 35–42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Bắt buộc tất cả CSTN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30/2026/NĐ-CP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Nghị định 30/2026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10–30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25/2020/TT-BCT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Quản lý NL tại cơ sở CN trọng điểm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4–20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≥1.000 TOE/năm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25/2020/TT-BCT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Kiểm toán năng lượng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5–15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Mỗi 3 năm — CSTN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38/2014/TT-BCT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Đào tạo quản lý năng lượng (EMR)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4–9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Bắt buộc EMR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36/2016/TT-BCT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Dán nhãn năng lượng và MEPS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Danh mục thiết bị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Thiết bị trong danh mục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QĐ 280/QĐ-TTg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VNEEP3 (2019–2030)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QĐ TTg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Mục tiêu 8–10% TKNL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06/2022/NĐ-CP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Giảm phát thải KNK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6, 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≥3.000 tCO₂e/năm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98/2020/NĐ-CP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Xử phạt vi phạm NLTK&amp;HQ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60–70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QĐ 2395/QĐ-BCT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MEPS thiết bị công nghiệp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QĐ BCT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Motor, bơm, quạt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Thiết bị mới mua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A.2. Họ tiêu chuẩn ISO 500xx áp dụng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 tiêu chuẩn</w:t>
            </w:r>
          </w:p>
        </w:tc>
        <w:tc>
          <w:tcPr>
            <w:tcW w:type="dxa" w:w="77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 trong dự án tư vấn GAP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50001:2018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Tiêu chuẩn gốc — EnMS Requirements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50002:2014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Energy Audits — Kiểm toán năng lượng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50003:2014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Certification Bodies — Tổ chức chứng nhận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50004:2014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Implementation Guidance — Hướng dẫn triển khai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50006:2014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 &amp; EnB Measurement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50015:2014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M&amp;V — Đo lường và xác minh NL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50021:2019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EnPI/EnB Selection Guidelines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50047:2016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Energy Savings Determination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2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4" w:sz="6" w:space="1"/>
      </w:pBdr>
      <w:spacing w:after="0" w:before="0"/>
    </w:pPr>
    <w:r>
      <w:rPr>
        <w:rFonts w:ascii="Arial" w:cs="Arial" w:eastAsia="Arial" w:hAnsi="Arial"/>
        <w:color w:val="6C757D"/>
        <w:sz w:val="15"/>
        <w:szCs w:val="15"/>
      </w:rPr>
      <w:t xml:space="preserve">Công ty TNHH Test Export  |  Ngày khảo sát: 2024-03-15  |  Trang </w:t>
    </w:r>
    <w:fldSimple w:instr="PAGE">
      <w:r>
        <w:rPr>
          <w:sz w:val="15"/>
          <w:szCs w:val="15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0" w:before="0"/>
    </w:pPr>
    <w:r>
      <w:rPr>
        <w:rFonts w:ascii="Arial" w:cs="Arial" w:eastAsia="Arial" w:hAnsi="Arial"/>
        <w:b/>
        <w:bCs/>
        <w:color w:val="2E5FA3"/>
        <w:sz w:val="17"/>
        <w:szCs w:val="17"/>
      </w:rPr>
      <w:t xml:space="preserve">Đơn vị Tư vấn Test  |  </w:t>
    </w:r>
    <w:r>
      <w:rPr>
        <w:rFonts w:ascii="Arial" w:cs="Arial" w:eastAsia="Arial" w:hAnsi="Arial"/>
        <w:color w:val="6C757D"/>
        <w:sz w:val="17"/>
        <w:szCs w:val="17"/>
      </w:rPr>
      <w:t xml:space="preserve">BÁO CÁO KHẢO SÁT GAP ISO 50001:2018  |  GAP-TEST-2024-001  |  </w:t>
    </w:r>
    <w:r>
      <w:rPr>
        <w:rFonts w:ascii="Arial" w:cs="Arial" w:eastAsia="Arial" w:hAnsi="Arial"/>
        <w:b/>
        <w:bCs/>
        <w:color w:val="C0392B"/>
        <w:sz w:val="15"/>
        <w:szCs w:val="15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10" w:space="2"/>
      </w:pBdr>
      <w:spacing w:after="180" w:before="360"/>
      <w:outlineLvl w:val="0"/>
    </w:pPr>
    <w:rPr>
      <w:rFonts w:ascii="Arial" w:cs="Arial" w:eastAsia="Arial" w:hAnsi="Arial"/>
      <w:b/>
      <w:bCs/>
      <w:color w:val="1B35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KHẢO SÁT GAP ISO 50001:2018 — GAP-TEST-2024-001</dc:title>
  <dc:creator>ISO 50001 GAP Survey Tool</dc:creator>
  <cp:lastModifiedBy>Un-named</cp:lastModifiedBy>
  <cp:revision>1</cp:revision>
  <dcterms:created xsi:type="dcterms:W3CDTF">2026-03-15T17:01:38.678Z</dcterms:created>
  <dcterms:modified xsi:type="dcterms:W3CDTF">2026-03-15T17:01:38.678Z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