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4a).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4c).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(Fig. 4b).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 Thus, all-panel summaries describe the 18,028 assayed genes, whereas COSTE and concordance results refer to the 530 analyzed genes.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4d).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4e). Exact best-cell-group agreement between uRNA-only and all-transcript profiles occurred for 50.2% of genes. In total, 60.0% of genes had Spearman concordance &gt;= 0.5, 37.7% had concordance &gt;= 0.8 and 21.9% had concordance effectively equal to 1.0 (Fig. 4e).</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4f).</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spacing w:after="120"/>
      </w:pPr>
      <w:r>
        <w:t>To verify that these COSTE proximity calls corresponded to real spatial arrangements rather than only matrix-level statistics, we generated local position maps for selected examples. The selection path first moved from the 18,028-gene panel to the 530-gene uRNA-only COSTE analysis, then to curated marker controls with interpretable expected compartments, and finally to four concordant positive examples plus one discordant boundary-sensitive control (Fig. 4b,f,g). A whole-section overview first marks the five sampled windows, and the corresponding zoom panels then show the true uRNA and cell-centroid positions (Fig. 5a-f). For CCND1, C1QA, JCHAIN and CDH5, the plotted uRNAs overlapped the corresponding 11q13 tumor, macrophage, plasma-cell and endothelial landmarks in 850-um windows chosen from the true transcript and cell-coordinate data. The same examples were highlighted in the uRNA-only SSS heatmap and global concordance distribution, showing that their local spatial patterns matched their low-SSS target cell groups and high all-transcript concordance (Fig. 5g-j). ERBB2 was included as a discordant example: its uRNAs were closest to CXCL14+ fibroblasts in the uRNA-only analysis, whereas its all-transcript profile favored basal-like structured DCIS cells (Fig. 4g and Fig. 5f-j).</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(Supplementary Fig. 1).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Spatial example windows</w:t>
      </w:r>
    </w:p>
    <w:p>
      <w:pPr>
        <w:spacing w:after="120"/>
      </w:pPr>
      <w:r>
        <w:t>Spatial example windows were extracted from the cached uRNA-coordinate parquet file generated on the A100 server. We selected CCND1, C1QA, JCHAIN and CDH5 as concordant examples and ERBB2 as a discordant example. For each gene, an 850-um square window was chosen by scoring grid bins for joint enrichment of the gene's uRNA coordinates and the target cell group. Target groups were 11q13 invasive tumor cells for CCND1, macrophages for C1QA, plasma cells for JCHAIN, endothelial cells for CDH5 and CXCL14+ fibroblasts for ERBB2. The Figure 5 overview uses a reproducible sample of 120,000 annotated cell centroids to show where the windows sit in the whole section. The zoom maps show true uRNA coordinates, true target cell centroids and sampled non-target cell centroids from each selected window. To maintain readability, uRNAs were downsampled to at most 7,000 plotted points per example and non-target cells to at most 3,500 plotted points; all target cells in the window were retained.</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4. Integrated uRNA evidence chain before spatial validation</w:t>
      </w:r>
    </w:p>
    <w:p>
      <w:pPr>
        <w:spacing w:after="120"/>
      </w:pPr>
      <w:r>
        <w:t>a, Transcript counts through gene, quality and uRNA filtering. b, Analysis-set definition from the 18,028-gene panel to the 530 genes analyzed by uRNA-only COSTE and concordance. c, Distribution of gene-level uRNA fractions across all panel genes, with the 530 analyzed genes overlaid. d, uRNA-only best COSTE cell groups for the 530 analyzed genes. e, Compact summary of global concordance between uRNA-only and all-transcript SSS profiles across the 530 analyzed genes. f, Curated marker-control logic showing expected compartments recovered from uRNAs alone and the heterogeneous tumor/DCIS interface control. g, Spatial-example bridge showing the four concordant positive examples and the discordant ERBB2 control carried into Figure 5. Detailed five-gene SSS heatmaps, concordance placement and per-example statistics are shown only in Figure 5.</w:t>
      </w:r>
    </w:p>
    <w:p>
      <w:pPr>
        <w:pStyle w:val="Heading2"/>
      </w:pPr>
      <w:r>
        <w:t>Figure 5. Real spatial examples support uRNA-only COSTE calls</w:t>
      </w:r>
    </w:p>
    <w:p>
      <w:pPr>
        <w:spacing w:after="120"/>
      </w:pPr>
      <w:r>
        <w:t>a, Whole-section overview of sampled cell centroids with colored boxes marking the five 850-um windows. b-f, True spatial windows for CCND1, C1QA, JCHAIN, CDH5 and ERBB2. Black points are high-quality uRNAs for the plotted gene, open colored circles are the target cell group and pale gray points are other cells in the same window. g, uRNA-only COSTE proximity for the five examples and representative cell groups, plotted as 1 - SSS so higher values indicate closer proximity. Black boxes mark the plotted target cell group. h, Global distribution of Spearman concordance between uRNA-only and all-transcript SSS profiles, with selected examples highlighted. i, Marker group validation summary. j, Per-example statistics, including uRNA-only SSS, concordance, best-cell-group match and the uRNA-only versus all-transcript best cell group.</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