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66"/>
      </w:pPr>
      <w:r>
        <w:rPr>
          <w:rFonts w:ascii="Arial" w:hAnsi="Arial" w:cs="Arial"/>
          <w:sz w:val="42"/>
          <w:sz-cs w:val="42"/>
          <w:b/>
          <w:spacing w:val="0"/>
          <w:color w:val="0E0E0E"/>
        </w:rPr>
        <w:t xml:space="preserve">Cover Letter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Dear Editor,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Please consider "Foundation-model morphology maps residual programs in spatial-omics contours" as a Brief Communication for Nature Biotechnology.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The manuscript introduces morphomolecular translation mapping (mTM), a contour-constrained framework for asking whether H&amp;E foundation-model embeddings map residual WTA program variation after spatial-omics-derived contour labels and spatial covariates have already been fixed. This framing differs from H&amp;E-to-expression prediction benchmarks: the primary question is not whether morphology can reconstruct broad molecular domains, but whether morphology carries measurable molecular information within already defined WTA contours.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In breast Atera WTA, mTM nominates residual luminal estrogen-response, unfolded-protein-response and oxidative-phosphorylation continua inside S3 contours. In cervical Atera WTA, the same residual-decoding workflow nominates stromal-remodeling, immune-ecology and invasion-associated programs. The reported associations are tested against compartment-aware spatial permutations that preserve contour labels, centroid-position bins and boundary-distance bins; 13 candidate associations pass the 95% spatial-null gate.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The study is deliberately conservative about what the data support. HistoSeg contours were generated from Atera WTA cell-coordinate and cluster information rather than from H&amp;E segmentation, so the manuscript does not claim independent histological contour discovery, morphology-only deployment, causality, directional boundary mechanisms or protein-level validation. Instead, it uses Atera WTA as a discovery layer to nominate morphology-associated molecular states and boundary ecologies for future orthogonal validation.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We believe the Brief Communication format is appropriate because the manuscript makes one focused methodological and biological point: foundation-model morphology can add residual information within spatial-omics-defined contours rather than merely reproduce those contours. The accompanying source data, code-release reference and reproducibility notes are included to make the initial submission package auditable.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Sincerely,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Taobo Hu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