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Light" w:hAnsi="Helvetica Light" w:cs="Helvetica Light"/>
          <w:sz w:val="24"/>
          <w:sz-cs w:val="24"/>
        </w:rPr>
        <w:t xml:space="preserve"># Foundation-model morphology maps residual programs in spatial-omics contours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Taobo Hu</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Science for Life Laboratory, Department of Biochemistry and Biophysics, Stockholm University, Stockholm, Sweden.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Correspondence: taobo.hu@scilifelab.se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Abstract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Spatial whole-transcriptome (WTA) imaging defines molecular tissue contours, but H&amp;E morphology may retain unresolved molecular information within them. We introduce morphomolecular translation mapping (mTM), which tests whether H&amp;E foundation-model embeddings map residual WTA programs after contour labels and spatial covariates are fixed. In breast and cervical WTA data, mTM nominates endocrine, stress, stromal, immune and boundary-associated programs exceeding compartment-aware spatial nulls.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Spatial biology is moving from sparse assays to high-resolution transcriptome maps that preserve tissue context&lt;sup&gt;1-5&lt;/sup&gt;. In parallel, H&amp;E foundation models and histology-spatial-omics systems now support visual-language pathology, whole-slide representation learning and expression-morphology integration&lt;sup&gt;6-16&lt;/sup&gt;. Most work asks whether H&amp;E can reconstruct expression, spatial domains or downstream labels. We asked a more conservative question: after a spatial-omics workflow has already defined molecular-spatial tissue contours, do H&amp;E foundation-model embeddings still map WTA variation that those contour labels leave unresolved? This shifts the benchmark from expression prediction to residual biological decoding. It also avoids treating square tiles or whole slides as the primary biological unit when the available spatial-omics data already define irregular, interpretable tissue regions. That distinction matters because an apparent H&amp;E-WTA association can otherwise reflect region identity, slide geography or boundary structure rather than molecular variation within a fixed tissue compartment. We therefore treat contour labels and spatial covariates as structure to be conditioned on, not as labels to be predicted.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We developed morphomolecular translation mapping (mTM), a contour-constrained residual decoding framework (Fig. 1). HistoSeg contours were generated from Atera WTA cell-coordinate and cluster information, not from H&amp;E image segmentation. The same polygons then served as the shared geometry&lt;sup&gt;18,19&lt;/sup&gt; for direct-WSI LazySlide PLIP or UNI H&amp;E embeddings&lt;sup&gt;12,14,17&lt;/sup&gt;, Atera WTA program summaries and residual statistical testing. This design choice is central to the claim. The contours are therefore not independent histological labels; the design is conservative rather than circular in the claim being tested because the spatial-omics contour label is treated as a discrete covariate, whereas mTM asks whether H&amp;E embeddings map continuous WTA program variation that remains within that label. mTM is not a standalone morphology-only predictor; it is a paired H&amp;E-WTA framework that tests whether morphology contributes residual information after coarse WTA-derived spatial structure, centroid position and boundary-distance covariates are controlled. The output is a ranked set of program-feature pairs, effect sizes and spatial-null checks, rather than a deployed diagnostic classifier. The contour scale is intentionally intermediate: it is larger than a single tile, retains local tissue context and is still small enough to expose within-label molecular heterogeneity. Using contours as units also makes the statistical unit explicit: one row corresponds to one registered polygon with matched image and WTA summaries, so permutation and bootstrap procedures operate on biologically meaningful regions instead of thousands of partially overlapping tiles. This keeps the evidence scale aligned with the biological question.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In breast WTA, the strongest evidence came from S3 contours, which define a molecular-spatial class but are not molecularly homogeneous. mTM places each S3 contour along residual continua of endocrine, stress and metabolic state. Within S3, PLIP-derived morphology was associated with residual luminal estrogen-response variation (partial Spearman's rho -0.639, P = 4.79 × 10&lt;sup&gt;-19&lt;/sup&gt;, n = 157), unfolded-protein-response variation (partial Spearman's rho 0.515, P = 7.91 × 10&lt;sup&gt;-12&lt;/sup&gt;) and oxidative-phosphorylation variation (partial Spearman's rho 0.531, P = 1.38 × 10&lt;sup&gt;-12&lt;/sup&gt;). These values summarize contour-level residual associations and are not per-cell or per-tile measurements. The direction of the image axis is arbitrary, so the biological statement is not that one embedding coordinate has a universal meaning. Rather, contours sharing the same spatial-omics-derived label retained continuous endocrine, stress and metabolic WTA variation that was mapped by H&amp;E foundation-model features. The luminal estrogen-response result is the clearest discovery example because it occurs after restricting to one discrete contour label and after spatial covariate adjustment. Hero patches in Fig. 1b are therefore illustrative examples selected after statistical ranking, not a blinded visual diagnostic claim.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We next tested whether these associations were simply consequences of spatial autocorrelation. Molecular residuals were permuted within strata preserving spatial-omics-derived contour label, centroid-position bins and boundary-distance bins. The breast luminal estrogen-response, unfolded-protein-response and oxidative-phosphorylation associations remained stronger than the compartment-aware null distributions, each with empirical P = 9.999 × 10&lt;sup&gt;-5&lt;/sup&gt;. Across breast and cervical analyses, 13 candidate associations passed the 95% spatial-null gate, and the strongest candidates also exceeded the 99% null threshold. Additional leave-one-block, local-mismatch and centroid-jitter checks retained candidate signs, although they still do not exclude all fine-scale spatial dependence. A cervical Atera WTA dataset served as a cross-cancer stress test rather than a direct replication of the breast luminal phenotype. It was used to ask whether the same residual-decoding procedure could nominate plausible program families in a different epithelial cancer, not whether breast-specific luminal biology would recur. In that second epithelial cancer context, residual decoding nominated stromal-remodeling, immune-ecology and invasion-associated programs, including myofibroblast CAF activation, EMT/invasive-front, TLS-adjacent activation, collagen/ECM organization and immune exclusion; these also exceeded the same spatial-null threshold. PLIP and UNI agreement was evaluated only at the program-family level, because embedding axes can rotate or change sign between models. Thus, the cervical result is consistent with applying the residual-decoding workflow to a different epithelial cancer setting, while cohort-level generality remains a future test.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Finally, ring-level boundary profiles nominated candidate molecularly active zones, defined here as interfaces where H&amp;E and WTA gradients co-varied at selected tissue boundaries. We use this language deliberately. The current data support conservative boundary co-variation, not causality, temporal ordering or a directional mechanism. Similarly, Atera WTA provides an 18,028-gene discovery layer&lt;sup&gt;20&lt;/sup&gt;, but transcript evidence does not replace protein validation. The correct translational interpretation is prospective: mTM nominates morphology-associated molecular states and boundary ecologies for validation in larger cohorts and, where clinically relevant, by IHC or orthogonal molecular assays. The study is deliberately validation-limited; its claim is methodological and residual, and the source data expose the reported associations for review and reuse. Its immediate contribution is a rigorous residual test showing that foundation-model morphology can add information within spatial-omics-defined contours rather than merely reproduce those contours. More broadly, mTM reframes H&amp;E-spatial-omics integration as a controlled interrogation of what remains after molecular-spatial labels are fixed. That framing should be useful for future whole-transcriptome imaging studies in which contour labels are available but within-contour functional states remain unresolved.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References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Ståhl, P.L. et al. Science 353, 78-82 (2016).</w:t>
      </w:r>
    </w:p>
    <w:p>
      <w:pPr/>
      <w:r>
        <w:rPr>
          <w:rFonts w:ascii="Helvetica Light" w:hAnsi="Helvetica Light" w:cs="Helvetica Light"/>
          <w:sz w:val="24"/>
          <w:sz-cs w:val="24"/>
        </w:rPr>
        <w:t xml:space="preserve">2. Chen, K.H., Boettiger, A.N., Moffitt, J.R., Wang, S. &amp; Zhuang, X. Science 348, aaa6090 (2015).</w:t>
      </w:r>
    </w:p>
    <w:p>
      <w:pPr/>
      <w:r>
        <w:rPr>
          <w:rFonts w:ascii="Helvetica Light" w:hAnsi="Helvetica Light" w:cs="Helvetica Light"/>
          <w:sz w:val="24"/>
          <w:sz-cs w:val="24"/>
        </w:rPr>
        <w:t xml:space="preserve">3. Rodriques, S.G. et al. Science 363, 1463-1467 (2019).</w:t>
      </w:r>
    </w:p>
    <w:p>
      <w:pPr/>
      <w:r>
        <w:rPr>
          <w:rFonts w:ascii="Helvetica Light" w:hAnsi="Helvetica Light" w:cs="Helvetica Light"/>
          <w:sz w:val="24"/>
          <w:sz-cs w:val="24"/>
        </w:rPr>
        <w:t xml:space="preserve">4. Eng, C.H.L. et al. Nature 568, 235-239 (2019).</w:t>
      </w:r>
    </w:p>
    <w:p>
      <w:pPr/>
      <w:r>
        <w:rPr>
          <w:rFonts w:ascii="Helvetica Light" w:hAnsi="Helvetica Light" w:cs="Helvetica Light"/>
          <w:sz w:val="24"/>
          <w:sz-cs w:val="24"/>
        </w:rPr>
        <w:t xml:space="preserve">5. Rao, A., Barkley, D., França, G.S. &amp; Yanai, I. Nature 596, 211-220 (2021).</w:t>
      </w:r>
    </w:p>
    <w:p>
      <w:pPr/>
      <w:r>
        <w:rPr>
          <w:rFonts w:ascii="Helvetica Light" w:hAnsi="Helvetica Light" w:cs="Helvetica Light"/>
          <w:sz w:val="24"/>
          <w:sz-cs w:val="24"/>
        </w:rPr>
        <w:t xml:space="preserve">6. He, B. et al. Nat. Biomed. Eng. 4, 827-834 (2020).</w:t>
      </w:r>
    </w:p>
    <w:p>
      <w:pPr/>
      <w:r>
        <w:rPr>
          <w:rFonts w:ascii="Helvetica Light" w:hAnsi="Helvetica Light" w:cs="Helvetica Light"/>
          <w:sz w:val="24"/>
          <w:sz-cs w:val="24"/>
        </w:rPr>
        <w:t xml:space="preserve">7. Zhang, D. et al. Nat. Biotechnol. 42, 1372-1377 (2024).</w:t>
      </w:r>
    </w:p>
    <w:p>
      <w:pPr/>
      <w:r>
        <w:rPr>
          <w:rFonts w:ascii="Helvetica Light" w:hAnsi="Helvetica Light" w:cs="Helvetica Light"/>
          <w:sz w:val="24"/>
          <w:sz-cs w:val="24"/>
        </w:rPr>
        <w:t xml:space="preserve">8. Jaume, G. et al. Adv. Neural Inf. Process. Syst. 37 (2024).</w:t>
      </w:r>
    </w:p>
    <w:p>
      <w:pPr/>
      <w:r>
        <w:rPr>
          <w:rFonts w:ascii="Helvetica Light" w:hAnsi="Helvetica Light" w:cs="Helvetica Light"/>
          <w:sz w:val="24"/>
          <w:sz-cs w:val="24"/>
        </w:rPr>
        <w:t xml:space="preserve">9. Huang, T., Liu, T., Babadi, M., Ying, R. &amp; Jin, W. npj Digit. Med. 8, 659 (2025).</w:t>
      </w:r>
    </w:p>
    <w:p>
      <w:pPr/>
      <w:r>
        <w:rPr>
          <w:rFonts w:ascii="Helvetica Light" w:hAnsi="Helvetica Light" w:cs="Helvetica Light"/>
          <w:sz w:val="24"/>
          <w:sz-cs w:val="24"/>
        </w:rPr>
        <w:t xml:space="preserve">10. Liu, T., Huang, T., Ding, T. et al. Nat. Biomed. Eng. https://doi.org/10.1038/s41551-025-01602-6 (2026).</w:t>
      </w:r>
    </w:p>
    <w:p>
      <w:pPr/>
      <w:r>
        <w:rPr>
          <w:rFonts w:ascii="Helvetica Light" w:hAnsi="Helvetica Light" w:cs="Helvetica Light"/>
          <w:sz w:val="24"/>
          <w:sz-cs w:val="24"/>
        </w:rPr>
        <w:t xml:space="preserve">11. Yang, C. et al. Preprint at arXiv https://doi.org/10.48550/arXiv.2507.06418 (2025).</w:t>
      </w:r>
    </w:p>
    <w:p>
      <w:pPr/>
      <w:r>
        <w:rPr>
          <w:rFonts w:ascii="Helvetica Light" w:hAnsi="Helvetica Light" w:cs="Helvetica Light"/>
          <w:sz w:val="24"/>
          <w:sz-cs w:val="24"/>
        </w:rPr>
        <w:t xml:space="preserve">12. Huang, Z., Bianchi, F., Yuksekgonul, M. et al. Nat. Med. 29, 2307-2316 (2023).</w:t>
      </w:r>
    </w:p>
    <w:p>
      <w:pPr/>
      <w:r>
        <w:rPr>
          <w:rFonts w:ascii="Helvetica Light" w:hAnsi="Helvetica Light" w:cs="Helvetica Light"/>
          <w:sz w:val="24"/>
          <w:sz-cs w:val="24"/>
        </w:rPr>
        <w:t xml:space="preserve">13. Lu, M.Y., Chen, B., Williamson, D.F.K. et al. Nat. Med. 30, 863-874 (2024).</w:t>
      </w:r>
    </w:p>
    <w:p>
      <w:pPr/>
      <w:r>
        <w:rPr>
          <w:rFonts w:ascii="Helvetica Light" w:hAnsi="Helvetica Light" w:cs="Helvetica Light"/>
          <w:sz w:val="24"/>
          <w:sz-cs w:val="24"/>
        </w:rPr>
        <w:t xml:space="preserve">14. Chen, R.J., Ding, T., Lu, M.Y. et al. Nat. Med. 30, 850-862 (2024).</w:t>
      </w:r>
    </w:p>
    <w:p>
      <w:pPr/>
      <w:r>
        <w:rPr>
          <w:rFonts w:ascii="Helvetica Light" w:hAnsi="Helvetica Light" w:cs="Helvetica Light"/>
          <w:sz w:val="24"/>
          <w:sz-cs w:val="24"/>
        </w:rPr>
        <w:t xml:space="preserve">15. Xu, H., Usuyama, N., Bagga, J. et al. Nature 630, 181-188 (2024).</w:t>
      </w:r>
    </w:p>
    <w:p>
      <w:pPr/>
      <w:r>
        <w:rPr>
          <w:rFonts w:ascii="Helvetica Light" w:hAnsi="Helvetica Light" w:cs="Helvetica Light"/>
          <w:sz w:val="24"/>
          <w:sz-cs w:val="24"/>
        </w:rPr>
        <w:t xml:space="preserve">16. Vorontsov, E., Bozkurt, A., Casson, A. et al. Nat. Med. 30, 2924-2935 (2024).</w:t>
      </w:r>
    </w:p>
    <w:p>
      <w:pPr/>
      <w:r>
        <w:rPr>
          <w:rFonts w:ascii="Helvetica Light" w:hAnsi="Helvetica Light" w:cs="Helvetica Light"/>
          <w:sz w:val="24"/>
          <w:sz-cs w:val="24"/>
        </w:rPr>
        <w:t xml:space="preserve">17. Zheng, Y., Abila, E., Chrenková, E. et al. Nat. Methods 23, 728-731 (2026).</w:t>
      </w:r>
    </w:p>
    <w:p>
      <w:pPr/>
      <w:r>
        <w:rPr>
          <w:rFonts w:ascii="Helvetica Light" w:hAnsi="Helvetica Light" w:cs="Helvetica Light"/>
          <w:sz w:val="24"/>
          <w:sz-cs w:val="24"/>
        </w:rPr>
        <w:t xml:space="preserve">18. Marconato, L., Palla, G., Yamauchi, K.A. et al. Nat. Methods 22, 58-62 (2025).</w:t>
      </w:r>
    </w:p>
    <w:p>
      <w:pPr/>
      <w:r>
        <w:rPr>
          <w:rFonts w:ascii="Helvetica Light" w:hAnsi="Helvetica Light" w:cs="Helvetica Light"/>
          <w:sz w:val="24"/>
          <w:sz-cs w:val="24"/>
        </w:rPr>
        <w:t xml:space="preserve">19. Palla, G. et al. Nat. Methods 19, 171-178 (2022).</w:t>
      </w:r>
    </w:p>
    <w:p>
      <w:pPr/>
      <w:r>
        <w:rPr>
          <w:rFonts w:ascii="Helvetica Light" w:hAnsi="Helvetica Light" w:cs="Helvetica Light"/>
          <w:sz w:val="24"/>
          <w:sz-cs w:val="24"/>
        </w:rPr>
        <w:t xml:space="preserve">20. 10x Genomics. Atera In Situ preview datasets: FFPE human breast cancer and FFPE human cervical cancer. https://www.10xgenomics.com/datasets/atera-wta-ffpe-human-breast-cancer; https://www.10xgenomics.com/datasets/atera-wta-ffpe-human-cervical-cancer (accessed 16 May 2026).</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Figure legend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Fig. 1 | Contour-constrained residual decoding maps WTA programs from H&amp;E morphology. a, HistoSeg contours are generated from Atera WTA cell-coordinate and cluster information, then used as the shared geometry for H&amp;E LazySlide PLIP/UNI embeddings and Atera WTA program summaries. b, Breast S3 luminal estrogen-response examples show high- and low-program contours under the same spatial-omics-derived contour label; labels report WTA program z-score and oriented H&amp;E embedding z-score. c, Top residual programs exceed compartment-aware spatial-null thresholds after preserving contour label, centroid and boundary-distance bins. d, Candidate molecularly active zone examples show ring-level H&amp;E-WTA boundary co-variation. e, Cross-cancer candidate program-family signatures summarize PLIP and UNI candidates in breast and cervical WTA; dot area reports maximum absolute partial Spearman's rho and text reports the top WTA program.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Declarations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Acknowledgements and funding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computations were enabled by resources provided by the National Academic Infrastructure for Supercomputing in Sweden (NAISS), partially funded by the Swedish Research Council through grant agreement no. 2022-06725.</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Author contributions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 conceived the study, implemented the analysis workflow, performed the computational analyses, generated the figures and source data, and wrote the manuscript.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Competing interests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author declares no competing interests.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Data availability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Source data for Fig. 1, Supplementary Figs. 1-3 and supplementary robustness summaries are included with the submission package. Raw 10x Genomics Atera WTA and H&amp;E input files are not redistributed in this repository and should be obtained from the original public/vendor preview dataset pages for the breast and cervical samples.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Code availability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mTM analysis and packaging code is available in pyXenium v0.4.6 at https://github.com/hutaobo/pyXenium/releases/tag/v0.4.6. The science-hardened initial-submission manuscript package is archived under the repository release `nbt-initial-submission-20260516-science-hardening` at https://github.com/hutaobo/pyXenium/releases/tag/nbt-initial-submission-20260516-science-hardening. Manuscript-level replication scripts are provided under `manuscript/mtm_wta_nbt_replication/`. HistoSeg contour-generation software is maintained separately at https://github.com/hutaobo/HistoSeg.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Ethics and data-use statement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This computational analysis used public/vendor example spatial WTA and H&amp;E data. The study did not involve new human sample collection, intervention or generation of new identifiable participant data.</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CocoaOOXMLWriter/2685.5</generator>
</meta>
</file>