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"Foundation-model morphology maps residual programs in spatial-omics contours" as a Brief Communication for Nature Biotechnology.</w:t>
      </w:r>
    </w:p>
    <w:p>
      <w:pPr>
        <w:pStyle w:val="BodyText"/>
      </w:pPr>
      <w:r>
        <w:t xml:space="preserve">The manuscript introduces morphomolecular translation mapping (mTM), a contour-constrained framework for asking whether H&amp;E foundation-model embeddings map residual WTA program variation after spatial-omics-derived contour labels and spatial covariates have already been fixed. This framing differs from H&amp;E-to-expression prediction benchmarks: the primary question is not whether morphology can reconstruct broad molecular domains, but whether morphology carries measurable molecular information within already defined WTA contours.</w:t>
      </w:r>
    </w:p>
    <w:p>
      <w:pPr>
        <w:pStyle w:val="BodyText"/>
      </w:pPr>
      <w:r>
        <w:t xml:space="preserve">In breast Atera WTA, mTM nominates residual luminal estrogen-response, unfolded-protein-response and oxidative-phosphorylation continua inside S3 contours. In cervical Atera WTA, the same residual-decoding workflow nominates stromal-remodeling, immune-ecology and invasion-associated programs. The reported associations are tested against compartment-aware spatial permutations that preserve contour labels, centroid-position bins and boundary-distance bins; 13 candidate associations pass the 95% spatial-null gate and remain sign-stable under small tile-registration perturbations. Nested spatial holdout is reported as an additional stress test, with weaker cross-model candidates described conservatively rather than promoted as primary claims.</w:t>
      </w:r>
    </w:p>
    <w:p>
      <w:pPr>
        <w:pStyle w:val="BodyText"/>
      </w:pPr>
      <w:r>
        <w:t xml:space="preserve">The study is deliberately conservative about what the data support. HistoSeg contours were generated from Atera WTA cell-coordinate and cluster information rather than from H&amp;E segmentation, so the manuscript does not claim independent histological contour discovery, morphology-only deployment, causality, directional boundary mechanisms or protein-level validation. Instead, it uses Atera WTA as a discovery layer to nominate morphology-associated molecular states and boundary ecologies for future orthogonal validation.</w:t>
      </w:r>
    </w:p>
    <w:p>
      <w:pPr>
        <w:pStyle w:val="BodyText"/>
      </w:pPr>
      <w:r>
        <w:t xml:space="preserve">We believe the Brief Communication format is appropriate because the manuscript makes one focused methodological and biological point: foundation-model morphology can add residual information within spatial-omics-defined contours rather than merely reproduce those contours. The accompanying source data, code-release reference and reproducibility notes are included to make the initial submission package auditable.</w:t>
      </w:r>
    </w:p>
    <w:p>
      <w:pPr>
        <w:pStyle w:val="BodyText"/>
      </w:pPr>
      <w:r>
        <w:t xml:space="preserve">There are no related manuscripts by the author under consideration or in press elsewhere. I have not had prior discussions with a Nature Biotechnology editor about the work described in this manuscript.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Taobo Hu</w:t>
      </w:r>
    </w:p>
    <w:bookmarkEnd w:id="9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2026-05-17T07:23:29Z</dcterms:created>
  <dcterms:modified xsi:type="dcterms:W3CDTF">2026-05-17T07:23:29Z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