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b/>
          <w:i w:val="0"/>
          <w:sz w:val="18"/>
        </w:rPr>
        <w:t>TopoLink-CCI Benchmarking Manuscript-style Report</w:t>
      </w:r>
    </w:p>
    <w:p>
      <w:pPr>
        <w:jc w:val="center"/>
      </w:pPr>
      <w:r>
        <w:rPr>
          <w:rFonts w:ascii="Arial" w:hAnsi="Arial" w:eastAsia="Microsoft YaHei"/>
          <w:b w:val="0"/>
          <w:i/>
          <w:sz w:val="18"/>
        </w:rPr>
        <w:t>Formatted Word report with embedded figures and source-data links</w:t>
      </w:r>
    </w:p>
    <w:p>
      <w:pPr>
        <w:pStyle w:val="Heading1"/>
      </w:pPr>
      <w:r>
        <w:t>Overall Progress</w:t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>本报告整理 TopoLink-CCI benchmarking 的完整收口状态。主线从 PDC Synthetic Truth 和 false-positive controls 出发，说明方法在受控场景下的 ranking behavior，再引入 Breast WTA 主 benchmark、A100 supplement、bounded appendix 和 Cervical WTA cross-dataset generalization。</w:t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 xml:space="preserve">当前 PDC publication queue 为 </w:t>
      </w:r>
      <w:r>
        <w:rPr>
          <w:rFonts w:ascii="Arial" w:hAnsi="Arial" w:eastAsia="Microsoft YaHei"/>
          <w:b/>
          <w:i w:val="0"/>
          <w:sz w:val="18"/>
        </w:rPr>
        <w:t>0</w:t>
      </w:r>
      <w:r>
        <w:rPr>
          <w:rFonts w:ascii="Arial" w:hAnsi="Arial" w:eastAsia="Microsoft YaHei"/>
          <w:b w:val="0"/>
          <w:i w:val="0"/>
          <w:sz w:val="18"/>
        </w:rPr>
        <w:t>，A100 无 active rescue process。报告口径已升级为 expanded 18-method benchmark：9 个 full success、7 个 bounded success、2 个 reproducible failure cards、0 个 deferred candidate methods、0 个 pending/running。这里的 all_methods_accounted=true 表示所有提到的方法都有明确状态，不表示所有方法都成功。</w:t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>FastCCC、SCILD、Copulacci 和 NicheNet 现在正式计入 expanded denominator，并且均已在 PDC 与 A100 完成终端化处理。FastCCC 和 SCILD 经 A100 retry 升级为 bounded subset result；Copulacci 和 NicheNet 保留 reproducible failure card，原因分别是 adapter workflow mapping blocker 与 R dependency/API audit blocker。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Key path: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D:\GitHub\pyXenium\benchmarking\cci_2026_atera\results\publication_benchmark_24h_20260511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Key path: </w:t>
      </w:r>
      <w:r>
        <w:rPr>
          <w:rFonts w:ascii="Arial" w:hAnsi="Arial" w:eastAsia="Microsoft YaHei"/>
          <w:b/>
          <w:i w:val="0"/>
          <w:sz w:val="18"/>
        </w:rPr>
        <w:t>/cfs/klemming/scratch/h/hutaobo/pyxenium_cci_benchmark_2026-04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Key path: </w:t>
      </w:r>
      <w:r>
        <w:rPr>
          <w:rFonts w:ascii="Arial" w:hAnsi="Arial" w:eastAsia="Microsoft YaHei"/>
          <w:b/>
          <w:i w:val="0"/>
          <w:sz w:val="18"/>
        </w:rPr>
        <w:t>/data/taobo.hu/pyxenium_lr_benchmark_2026-04</w:t>
      </w:r>
    </w:p>
    <w:p>
      <w:pPr>
        <w:pStyle w:val="Heading2"/>
      </w:pPr>
      <w:r>
        <w:t>Summary of Evaluated Methods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4"/>
              </w:rPr>
              <w:t>Dataset</w:t>
            </w:r>
          </w:p>
        </w:tc>
        <w:tc>
          <w:tcPr>
            <w:tcW w:type="dxa" w:w="19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4"/>
              </w:rPr>
              <w:t>Method</w:t>
            </w:r>
          </w:p>
        </w:tc>
        <w:tc>
          <w:tcPr>
            <w:tcW w:type="dxa" w:w="19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4"/>
              </w:rPr>
              <w:t>Status</w:t>
            </w:r>
          </w:p>
        </w:tc>
        <w:tc>
          <w:tcPr>
            <w:tcW w:type="dxa" w:w="19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4"/>
              </w:rPr>
              <w:t>Evidence tier</w:t>
            </w:r>
          </w:p>
        </w:tc>
        <w:tc>
          <w:tcPr>
            <w:tcW w:type="dxa" w:w="19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4"/>
              </w:rPr>
              <w:t>Phase</w:t>
            </w:r>
          </w:p>
        </w:tc>
        <w:tc>
          <w:tcPr>
            <w:tcW w:type="dxa" w:w="19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4"/>
              </w:rPr>
              <w:t>Rows</w:t>
            </w:r>
          </w:p>
        </w:tc>
        <w:tc>
          <w:tcPr>
            <w:tcW w:type="dxa" w:w="19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4"/>
              </w:rPr>
              <w:t>Hardware/source</w:t>
            </w:r>
          </w:p>
        </w:tc>
        <w:tc>
          <w:tcPr>
            <w:tcW w:type="dxa" w:w="19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4"/>
              </w:rPr>
              <w:t>Interpretation</w:t>
            </w:r>
          </w:p>
        </w:tc>
      </w:tr>
      <w:tr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Breast WTA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TopoLink-CCI</w:t>
            </w:r>
          </w:p>
        </w:tc>
        <w:tc>
          <w:tcPr>
            <w:tcW w:type="dxa" w:w="1935"/>
            <w:shd w:fill="DDEEDB"/>
            <w:shd w:fill="DDEEDB"/>
            <w:vAlign w:val="top"/>
            <w:shd w:fill="DDEEDB"/>
            <w:shd w:fill="DDEEDB"/>
            <w:shd w:fill="DDEEDB"/>
            <w:shd w:fill="DDEEDB"/>
            <w:shd w:fill="DDEEDB"/>
            <w:shd w:fill="DDEEDB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Full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Main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full common-db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1,319,600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PDC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Primary clean full-common result.</w:t>
            </w:r>
          </w:p>
        </w:tc>
      </w:tr>
      <w:tr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Breast WTA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CellPhoneDB</w:t>
            </w:r>
          </w:p>
        </w:tc>
        <w:tc>
          <w:tcPr>
            <w:tcW w:type="dxa" w:w="1935"/>
            <w:shd w:fill="DDEEDB"/>
            <w:shd w:fill="DDEEDB"/>
            <w:vAlign w:val="top"/>
            <w:shd w:fill="DDEEDB"/>
            <w:shd w:fill="DDEEDB"/>
            <w:shd w:fill="DDEEDB"/>
            <w:shd w:fill="DDEEDB"/>
            <w:shd w:fill="DDEEDB"/>
            <w:shd w:fill="DDEEDB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Full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Main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full common-db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reported in artifact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PDC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Reproducible non-spatial expression baseline.</w:t>
            </w:r>
          </w:p>
        </w:tc>
      </w:tr>
      <w:tr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Breast WTA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LARIS</w:t>
            </w:r>
          </w:p>
        </w:tc>
        <w:tc>
          <w:tcPr>
            <w:tcW w:type="dxa" w:w="1935"/>
            <w:shd w:fill="DDEEDB"/>
            <w:shd w:fill="DDEEDB"/>
            <w:vAlign w:val="top"/>
            <w:shd w:fill="DDEEDB"/>
            <w:shd w:fill="DDEEDB"/>
            <w:shd w:fill="DDEEDB"/>
            <w:shd w:fill="DDEEDB"/>
            <w:shd w:fill="DDEEDB"/>
            <w:shd w:fill="DDEEDB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Full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Main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full common-db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reported in artifact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PDC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Diffusion/spatial smoothing comparator.</w:t>
            </w:r>
          </w:p>
        </w:tc>
      </w:tr>
      <w:tr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Breast WTA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LIANA+</w:t>
            </w:r>
          </w:p>
        </w:tc>
        <w:tc>
          <w:tcPr>
            <w:tcW w:type="dxa" w:w="1935"/>
            <w:shd w:fill="DDEEDB"/>
            <w:shd w:fill="DDEEDB"/>
            <w:vAlign w:val="top"/>
            <w:shd w:fill="DDEEDB"/>
            <w:shd w:fill="DDEEDB"/>
            <w:shd w:fill="DDEEDB"/>
            <w:shd w:fill="DDEEDB"/>
            <w:shd w:fill="DDEEDB"/>
            <w:shd w:fill="DDEEDB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Full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Main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full common-db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reported in artifact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PDC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Spatial bivariate/multi-method comparator.</w:t>
            </w:r>
          </w:p>
        </w:tc>
      </w:tr>
      <w:tr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Breast WTA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SpatialDM</w:t>
            </w:r>
          </w:p>
        </w:tc>
        <w:tc>
          <w:tcPr>
            <w:tcW w:type="dxa" w:w="1935"/>
            <w:shd w:fill="DDEEDB"/>
            <w:shd w:fill="DDEEDB"/>
            <w:vAlign w:val="top"/>
            <w:shd w:fill="DDEEDB"/>
            <w:shd w:fill="DDEEDB"/>
            <w:shd w:fill="DDEEDB"/>
            <w:shd w:fill="DDEEDB"/>
            <w:shd w:fill="DDEEDB"/>
            <w:shd w:fill="DDEEDB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Full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Main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full common-db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reported in artifact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PDC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Spatial co-expression/null comparator.</w:t>
            </w:r>
          </w:p>
        </w:tc>
      </w:tr>
      <w:tr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Breast WTA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stLearn</w:t>
            </w:r>
          </w:p>
        </w:tc>
        <w:tc>
          <w:tcPr>
            <w:tcW w:type="dxa" w:w="1935"/>
            <w:shd w:fill="DDEEDB"/>
            <w:shd w:fill="DDEEDB"/>
            <w:vAlign w:val="top"/>
            <w:shd w:fill="DDEEDB"/>
            <w:shd w:fill="DDEEDB"/>
            <w:shd w:fill="DDEEDB"/>
            <w:shd w:fill="DDEEDB"/>
            <w:shd w:fill="DDEEDB"/>
            <w:shd w:fill="DDEEDB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Full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Main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full common-db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reported in artifact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PDC/A100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Spatial neighborhood permutation comparator.</w:t>
            </w:r>
          </w:p>
        </w:tc>
      </w:tr>
      <w:tr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Breast WTA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Squidpy</w:t>
            </w:r>
          </w:p>
        </w:tc>
        <w:tc>
          <w:tcPr>
            <w:tcW w:type="dxa" w:w="1935"/>
            <w:shd w:fill="DDEEDB"/>
            <w:shd w:fill="DDEEDB"/>
            <w:vAlign w:val="top"/>
            <w:shd w:fill="DDEEDB"/>
            <w:shd w:fill="DDEEDB"/>
            <w:shd w:fill="DDEEDB"/>
            <w:shd w:fill="DDEEDB"/>
            <w:shd w:fill="DDEEDB"/>
            <w:shd w:fill="DDEEDB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Full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Supplement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full common-db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1,319,600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A100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Permutation-style ligrec supplement.</w:t>
            </w:r>
          </w:p>
        </w:tc>
      </w:tr>
      <w:tr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Breast WTA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CellChat</w:t>
            </w:r>
          </w:p>
        </w:tc>
        <w:tc>
          <w:tcPr>
            <w:tcW w:type="dxa" w:w="1935"/>
            <w:shd w:fill="DDEEDB"/>
            <w:shd w:fill="DDEEDB"/>
            <w:vAlign w:val="top"/>
            <w:shd w:fill="DDEEDB"/>
            <w:shd w:fill="DDEEDB"/>
            <w:shd w:fill="DDEEDB"/>
            <w:shd w:fill="DDEEDB"/>
            <w:shd w:fill="DDEEDB"/>
            <w:shd w:fill="DDEEDB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Full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Supplement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LR-only full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31,592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A100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Pathway step disabled because of runtime bug.</w:t>
            </w:r>
          </w:p>
        </w:tc>
      </w:tr>
      <w:tr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Breast WTA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COMMOT</w:t>
            </w:r>
          </w:p>
        </w:tc>
        <w:tc>
          <w:tcPr>
            <w:tcW w:type="dxa" w:w="1935"/>
            <w:shd w:fill="DDEEDB"/>
            <w:shd w:fill="DDEEDB"/>
            <w:vAlign w:val="top"/>
            <w:shd w:fill="DDEEDB"/>
            <w:shd w:fill="DDEEDB"/>
            <w:shd w:fill="DDEEDB"/>
            <w:shd w:fill="DDEEDB"/>
            <w:shd w:fill="DDEEDB"/>
            <w:shd w:fill="DDEEDB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Full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Appendix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chunked full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724,604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A100/PDC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Transport/diffusion comparator; 16/16 chunks merged.</w:t>
            </w:r>
          </w:p>
        </w:tc>
      </w:tr>
      <w:tr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Breast WTA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Giotto</w:t>
            </w:r>
          </w:p>
        </w:tc>
        <w:tc>
          <w:tcPr>
            <w:tcW w:type="dxa" w:w="1935"/>
            <w:shd w:fill="FFF2CC"/>
            <w:shd w:fill="FFF2CC"/>
            <w:vAlign w:val="top"/>
            <w:shd w:fill="FFF2CC"/>
            <w:shd w:fill="FFF2CC"/>
            <w:shd w:fill="FFF2CC"/>
            <w:shd w:fill="FFF2CC"/>
            <w:shd w:fill="FFF2CC"/>
            <w:shd w:fill="FFF2CC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Bounded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Appendix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pilot50k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1,151,351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A100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Full limited by R Matrix/TsparseMatrix 2^31-1 sparse index boundary.</w:t>
            </w:r>
          </w:p>
        </w:tc>
      </w:tr>
      <w:tr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Breast WTA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SpaTalk</w:t>
            </w:r>
          </w:p>
        </w:tc>
        <w:tc>
          <w:tcPr>
            <w:tcW w:type="dxa" w:w="1935"/>
            <w:shd w:fill="FFF2CC"/>
            <w:shd w:fill="FFF2CC"/>
            <w:vAlign w:val="top"/>
            <w:shd w:fill="FFF2CC"/>
            <w:shd w:fill="FFF2CC"/>
            <w:shd w:fill="FFF2CC"/>
            <w:shd w:fill="FFF2CC"/>
            <w:shd w:fill="FFF2CC"/>
            <w:shd w:fill="FFF2CC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Bounded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Appendix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smoke20k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37,532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A100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66/66 smoke chunks completed; pilot50k had no usable output.</w:t>
            </w:r>
          </w:p>
        </w:tc>
      </w:tr>
      <w:tr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Breast WTA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NICHES</w:t>
            </w:r>
          </w:p>
        </w:tc>
        <w:tc>
          <w:tcPr>
            <w:tcW w:type="dxa" w:w="1935"/>
            <w:shd w:fill="FFF2CC"/>
            <w:shd w:fill="FFF2CC"/>
            <w:vAlign w:val="top"/>
            <w:shd w:fill="FFF2CC"/>
            <w:shd w:fill="FFF2CC"/>
            <w:shd w:fill="FFF2CC"/>
            <w:shd w:fill="FFF2CC"/>
            <w:shd w:fill="FFF2CC"/>
            <w:shd w:fill="FFF2CC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Bounded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Appendix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pilot50k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1,181,042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A100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Full stopped by memory safety gate.</w:t>
            </w:r>
          </w:p>
        </w:tc>
      </w:tr>
      <w:tr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Breast WTA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CellNEST</w:t>
            </w:r>
          </w:p>
        </w:tc>
        <w:tc>
          <w:tcPr>
            <w:tcW w:type="dxa" w:w="1935"/>
            <w:shd w:fill="FFF2CC"/>
            <w:shd w:fill="FFF2CC"/>
            <w:vAlign w:val="top"/>
            <w:shd w:fill="FFF2CC"/>
            <w:shd w:fill="FFF2CC"/>
            <w:shd w:fill="FFF2CC"/>
            <w:shd w:fill="FFF2CC"/>
            <w:shd w:fill="FFF2CC"/>
            <w:shd w:fill="FFF2CC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Bounded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Appendix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pilot50k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157,553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A100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Bounded GPU/source workflow result.</w:t>
            </w:r>
          </w:p>
        </w:tc>
      </w:tr>
      <w:tr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Breast WTA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CellAgentChat</w:t>
            </w:r>
          </w:p>
        </w:tc>
        <w:tc>
          <w:tcPr>
            <w:tcW w:type="dxa" w:w="1935"/>
            <w:shd w:fill="FFF2CC"/>
            <w:shd w:fill="FFF2CC"/>
            <w:vAlign w:val="top"/>
            <w:shd w:fill="FFF2CC"/>
            <w:shd w:fill="FFF2CC"/>
            <w:shd w:fill="FFF2CC"/>
            <w:shd w:fill="FFF2CC"/>
            <w:shd w:fill="FFF2CC"/>
            <w:shd w:fill="FFF2CC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Bounded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Appendix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pilot50k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1,143,543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A100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16/16 pilot chunks succeeded; full resource exceeded.</w:t>
            </w:r>
          </w:p>
        </w:tc>
      </w:tr>
      <w:tr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Breast WTA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SCILD</w:t>
            </w:r>
          </w:p>
        </w:tc>
        <w:tc>
          <w:tcPr>
            <w:tcW w:type="dxa" w:w="1935"/>
            <w:shd w:fill="FFF2CC"/>
            <w:shd w:fill="FFF2CC"/>
            <w:vAlign w:val="top"/>
            <w:shd w:fill="FFF2CC"/>
            <w:shd w:fill="FFF2CC"/>
            <w:shd w:fill="FFF2CC"/>
            <w:shd w:fill="FFF2CC"/>
            <w:shd w:fill="FFF2CC"/>
            <w:shd w:fill="FFF2CC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Bounded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Bounded appendix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smoke3k common-db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2,880 rows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A100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Official source-backed ligand-diffusion bounded retry succeeded: 3000 cells x 20 CCI pairs, peak RSS about 18.9GB.</w:t>
            </w:r>
          </w:p>
        </w:tc>
      </w:tr>
      <w:tr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Breast WTA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FastCCC</w:t>
            </w:r>
          </w:p>
        </w:tc>
        <w:tc>
          <w:tcPr>
            <w:tcW w:type="dxa" w:w="1935"/>
            <w:shd w:fill="FFF2CC"/>
            <w:shd w:fill="FFF2CC"/>
            <w:vAlign w:val="top"/>
            <w:shd w:fill="FFF2CC"/>
            <w:shd w:fill="FFF2CC"/>
            <w:shd w:fill="FFF2CC"/>
            <w:shd w:fill="FFF2CC"/>
            <w:shd w:fill="FFF2CC"/>
            <w:shd w:fill="FFF2CC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Bounded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Appendix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smoke20k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1,319,600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A100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A100 retry succeeded after PDC standardization failure; analytic non-spatial expression baseline.</w:t>
            </w:r>
          </w:p>
        </w:tc>
      </w:tr>
      <w:tr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Breast WTA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Copulacci</w:t>
            </w:r>
          </w:p>
        </w:tc>
        <w:tc>
          <w:tcPr>
            <w:tcW w:type="dxa" w:w="1935"/>
            <w:shd w:fill="F4CCCC"/>
            <w:shd w:fill="F4CCCC"/>
            <w:vAlign w:val="top"/>
            <w:shd w:fill="F4CCCC"/>
            <w:shd w:fill="F4CCCC"/>
            <w:shd w:fill="F4CCCC"/>
            <w:shd w:fill="F4CCCC"/>
            <w:shd w:fill="F4CCCC"/>
            <w:shd w:fill="F4CCCC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Failure card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Terminal card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env/API audit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reported in artifact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PDC/A100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Official source imports, but no safe common-resource bounded adapter mapping.</w:t>
            </w:r>
          </w:p>
        </w:tc>
      </w:tr>
      <w:tr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Breast WTA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NicheNet</w:t>
            </w:r>
          </w:p>
        </w:tc>
        <w:tc>
          <w:tcPr>
            <w:tcW w:type="dxa" w:w="1935"/>
            <w:shd w:fill="F4CCCC"/>
            <w:shd w:fill="F4CCCC"/>
            <w:vAlign w:val="top"/>
            <w:shd w:fill="F4CCCC"/>
            <w:shd w:fill="F4CCCC"/>
            <w:shd w:fill="F4CCCC"/>
            <w:shd w:fill="F4CCCC"/>
            <w:shd w:fill="F4CCCC"/>
            <w:shd w:fill="F4CCCC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Failure card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Terminal card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env/API audit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reported in artifact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PDC/A100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 dependency/API audit blocker; downstream support method, not direct spatial CCI ranker.</w:t>
            </w:r>
          </w:p>
        </w:tc>
      </w:tr>
      <w:tr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Cervical WTA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TopoLink-CCI</w:t>
            </w:r>
          </w:p>
        </w:tc>
        <w:tc>
          <w:tcPr>
            <w:tcW w:type="dxa" w:w="1935"/>
            <w:shd w:fill="DDEEDB"/>
            <w:shd w:fill="DDEEDB"/>
            <w:vAlign w:val="top"/>
            <w:shd w:fill="DDEEDB"/>
            <w:shd w:fill="DDEEDB"/>
            <w:shd w:fill="DDEEDB"/>
            <w:shd w:fill="DDEEDB"/>
            <w:shd w:fill="DDEEDB"/>
            <w:shd w:fill="DDEEDB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Full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Cross-dataset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full common-db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2,404,971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PDC</w:t>
            </w:r>
          </w:p>
        </w:tc>
        <w:tc>
          <w:tcPr>
            <w:tcW w:type="dxa" w:w="19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Top hit: DSC2-DSG3 in differentiating tumor cells.</w:t>
            </w:r>
          </w:p>
        </w:tc>
      </w:tr>
    </w:tbl>
    <w:p>
      <w:pPr>
        <w:pStyle w:val="Heading3"/>
      </w:pPr>
      <w:r>
        <w:t>Figure panel 1. Benchmark completion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23760" cy="4824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mpletion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824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>Overview of full, bounded, and reproducible failure-card method states.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Figure: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D:\GitHub\pyXenium\benchmarking\cci_2026_atera\results\preview_completed_20260511\figures\fig1_completion_status.png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Source data: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D:\GitHub\pyXenium\benchmarking\cci_2026_atera\results\preview_completed_20260511\source_data\fig1_completion_status.tsv</w:t>
      </w:r>
    </w:p>
    <w:p>
      <w:r>
        <w:br w:type="page"/>
      </w:r>
    </w:p>
    <w:p>
      <w:pPr>
        <w:pStyle w:val="Heading1"/>
      </w:pPr>
      <w:r>
        <w:t>Validation &amp; Controls</w:t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 xml:space="preserve">PDC Synthetic Truth 结果提供了真实 WTA benchmark 的前置可信度论证。完整 TopoLink-CCI 模型获得 </w:t>
      </w:r>
      <w:r>
        <w:rPr>
          <w:rFonts w:ascii="Arial" w:hAnsi="Arial" w:eastAsia="Microsoft YaHei"/>
          <w:b/>
          <w:i w:val="0"/>
          <w:sz w:val="18"/>
        </w:rPr>
        <w:t>AUROC 0.9919</w:t>
      </w:r>
      <w:r>
        <w:rPr>
          <w:rFonts w:ascii="Arial" w:hAnsi="Arial" w:eastAsia="Microsoft YaHei"/>
          <w:b w:val="0"/>
          <w:i w:val="0"/>
          <w:sz w:val="18"/>
        </w:rPr>
        <w:t xml:space="preserve"> 和 </w:t>
      </w:r>
      <w:r>
        <w:rPr>
          <w:rFonts w:ascii="Arial" w:hAnsi="Arial" w:eastAsia="Microsoft YaHei"/>
          <w:b/>
          <w:i w:val="0"/>
          <w:sz w:val="18"/>
        </w:rPr>
        <w:t>AUPRC 0.8333</w:t>
      </w:r>
      <w:r>
        <w:rPr>
          <w:rFonts w:ascii="Arial" w:hAnsi="Arial" w:eastAsia="Microsoft YaHei"/>
          <w:b w:val="0"/>
          <w:i w:val="0"/>
          <w:sz w:val="18"/>
        </w:rPr>
        <w:t>。expression-only 为 AUROC 0.9839 / AUPRC 0.8333，contact-only 为 AUROC 0.9919 / AUPRC 0.8333，而 topology-anchor-only 虽然 AUROC 为 0.9839，但 AUPRC 降至 0.5833。</w:t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>该结果说明 Topology Anchor 单独使用不足以稳定排序 positive CCI axes；完整模型通过 expression specificity 和 local contact 补充拓扑信息，提升 precision-recall ranking 的稳定性。</w:t>
      </w:r>
    </w:p>
    <w:p>
      <w:pPr>
        <w:pStyle w:val="Heading3"/>
      </w:pPr>
      <w:r>
        <w:t>Figure panel 2. Synthetic Truth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23760" cy="4575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truth_auroc_aupr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575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>TopoLink-CCI achieves AUROC 0.9919 and AUPRC 0.8333; topology-anchor-only loses precision-recall stability.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Figure: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D:\GitHub\pyXenium\benchmarking\cci_2026_atera\results\publication_benchmark_24h_20260511\pdc_collected\publication_benchmark_24h_20260511\synthetic_truth\figures\synthetic_truth_auroc_auprc.png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Source data: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D:\GitHub\pyXenium\benchmarking\cci_2026_atera\results\publication_benchmark_24h_20260511\pdc_collected\publication_benchmark_24h_20260511\synthetic_truth\tables\synthetic_truth_metrics.tsv</w:t>
      </w:r>
    </w:p>
    <w:p>
      <w:r>
        <w:br w:type="page"/>
      </w:r>
    </w:p>
    <w:p>
      <w:pPr>
        <w:pStyle w:val="Heading1"/>
      </w:pPr>
      <w:r>
        <w:t>Core Benchmarking Results</w:t>
      </w:r>
    </w:p>
    <w:p>
      <w:pPr>
        <w:pStyle w:val="Heading2"/>
      </w:pPr>
      <w:r>
        <w:t>Breast WTA common-db main comparison</w:t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 xml:space="preserve">Breast WTA 是主实验数据集。TopoLink-CCI Breast full result 产生 </w:t>
      </w:r>
      <w:r>
        <w:rPr>
          <w:rFonts w:ascii="Arial" w:hAnsi="Arial" w:eastAsia="Microsoft YaHei"/>
          <w:b/>
          <w:i w:val="0"/>
          <w:sz w:val="18"/>
        </w:rPr>
        <w:t>1,319,600 rows</w:t>
      </w:r>
      <w:r>
        <w:rPr>
          <w:rFonts w:ascii="Arial" w:hAnsi="Arial" w:eastAsia="Microsoft YaHei"/>
          <w:b w:val="0"/>
          <w:i w:val="0"/>
          <w:sz w:val="18"/>
        </w:rPr>
        <w:t>，构成 biological interpretation、classic CCI axis selection、validation 和 cross-method consistency 的主要输入。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TopoLink-CCI Breast artifact: </w:t>
      </w:r>
      <w:r>
        <w:rPr>
          <w:rFonts w:ascii="Arial" w:hAnsi="Arial" w:eastAsia="Microsoft YaHei"/>
          <w:b/>
          <w:i w:val="0"/>
          <w:sz w:val="18"/>
        </w:rPr>
        <w:t>pdc_collected/pdc_20260426_1327/runs/full_common/pyxenium</w:t>
      </w:r>
    </w:p>
    <w:p>
      <w:pPr>
        <w:pStyle w:val="Heading3"/>
      </w:pPr>
      <w:r>
        <w:t>Figure panel 3. Breast WTA TopoLink-CCI top axes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23760" cy="41556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breast_topolink_top_ax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155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>High-ranking Breast WTA axes emphasize vascular, stromal, immune and Notch-associated CCI themes.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Figure: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D:\GitHub\pyXenium\benchmarking\cci_2026_atera\results\preview_completed_20260511\figures\fig3_breast_topolink_top_axes.png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Source data: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D:\GitHub\pyXenium\benchmarking\cci_2026_atera\results\preview_completed_20260511\source_data\fig3_breast_topolink_top_axes.tsv</w:t>
      </w:r>
    </w:p>
    <w:p>
      <w:pPr>
        <w:pStyle w:val="Heading3"/>
      </w:pPr>
      <w:r>
        <w:t>Figure panel 4. Canonical pair rank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23760" cy="54096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anonical_pair_rank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540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>Canonical axis recovery is evaluated by within-method ranks rather than raw score comparison.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Figure: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D:\GitHub\pyXenium\benchmarking\cci_2026_atera\results\cross_method_comparison_20260511\figures\fig6_canonical_pair_rank_heatmap.png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Source data: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D:\GitHub\pyXenium\benchmarking\cci_2026_atera\results\cross_method_comparison_20260511\source_data\fig6_canonical_pair_rank_heatmap.tsv</w:t>
      </w:r>
    </w:p>
    <w:p>
      <w:pPr>
        <w:pStyle w:val="Heading2"/>
      </w:pPr>
      <w:r>
        <w:t>A100 supplementary full and appendix runs</w:t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>A100 supplement 提供 Squidpy full、CellChat LR-only full 和 COMMOT chunked result。bounded appendix 记录 Giotto、SpaTalk、NICHES、CellNEST 和 CellAgentChat 的 scalability/resource tradeoff。</w:t>
      </w:r>
    </w:p>
    <w:p>
      <w:pPr>
        <w:pStyle w:val="Heading3"/>
      </w:pPr>
      <w:r>
        <w:t>Figure panel 5. Runtime and scalability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23760" cy="47203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untime_hou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720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>Engineering comparison across full and bounded runs.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Figure: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D:\GitHub\pyXenium\benchmarking\cci_2026_atera\results\cross_method_comparison_20260511\figures\fig1_runtime_hours.png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Source data: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D:\GitHub\pyXenium\benchmarking\cci_2026_atera\results\cross_method_comparison_20260511\source_data\fig1_runtime_hours.tsv</w:t>
      </w:r>
    </w:p>
    <w:p>
      <w:pPr>
        <w:pStyle w:val="Heading3"/>
      </w:pPr>
      <w:r>
        <w:t>Figure panel 6. Top-100 pair Jaccard consistency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23760" cy="64773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op100_pair_jaccard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647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>Cross-method consistency is summarized as overlap among top-ranked CCI axes.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Figure: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D:\GitHub\pyXenium\benchmarking\cci_2026_atera\results\cross_method_comparison_20260511\figures\fig3_top100_pair_jaccard_heatmap.png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Source data: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D:\GitHub\pyXenium\benchmarking\cci_2026_atera\results\cross_method_comparison_20260511\source_data\fig3_top100_pair_jaccard_heatmap.tsv</w:t>
      </w:r>
    </w:p>
    <w:p>
      <w:r>
        <w:br w:type="page"/>
      </w:r>
    </w:p>
    <w:p>
      <w:pPr>
        <w:pStyle w:val="Heading1"/>
      </w:pPr>
      <w:r>
        <w:t>Cross-dataset generalization</w:t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 xml:space="preserve">Cervical WTA TopoLink-CCI full common-db run 生成 </w:t>
      </w:r>
      <w:r>
        <w:rPr>
          <w:rFonts w:ascii="Arial" w:hAnsi="Arial" w:eastAsia="Microsoft YaHei"/>
          <w:b/>
          <w:i w:val="0"/>
          <w:sz w:val="18"/>
        </w:rPr>
        <w:t>2,404,971 rows</w:t>
      </w:r>
      <w:r>
        <w:rPr>
          <w:rFonts w:ascii="Arial" w:hAnsi="Arial" w:eastAsia="Microsoft YaHei"/>
          <w:b w:val="0"/>
          <w:i w:val="0"/>
          <w:sz w:val="18"/>
        </w:rPr>
        <w:t xml:space="preserve">。其 top hit 为 </w:t>
      </w:r>
      <w:r>
        <w:rPr>
          <w:rFonts w:ascii="Arial" w:hAnsi="Arial" w:eastAsia="Microsoft YaHei"/>
          <w:b/>
          <w:i w:val="0"/>
          <w:sz w:val="18"/>
        </w:rPr>
        <w:t>DSC2-DSG3 / Differentiating Tumor Cells -&gt; Differentiating Tumor Cells</w:t>
      </w:r>
      <w:r>
        <w:rPr>
          <w:rFonts w:ascii="Arial" w:hAnsi="Arial" w:eastAsia="Microsoft YaHei"/>
          <w:b w:val="0"/>
          <w:i w:val="0"/>
          <w:sz w:val="18"/>
        </w:rPr>
        <w:t>，与 Breast WTA 中 vascular/endothelial top axes 不同，支持 tissue-context-specific CCI prioritization。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Cervical artifact: </w:t>
      </w:r>
      <w:r>
        <w:rPr>
          <w:rFonts w:ascii="Arial" w:hAnsi="Arial" w:eastAsia="Microsoft YaHei"/>
          <w:b/>
          <w:i w:val="0"/>
          <w:sz w:val="18"/>
        </w:rPr>
        <w:t>/cfs/klemming/scratch/h/hutaobo/pyxenium_cci_benchmark_2026-04/datasets/atera_cervical_wta/runs/full_common/pyxenium/pyxenium_standardized.tsv</w:t>
      </w:r>
    </w:p>
    <w:p>
      <w:pPr>
        <w:pStyle w:val="Heading3"/>
      </w:pPr>
      <w:r>
        <w:t>Figure panel 7. Breast versus Cervical generalization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23760" cy="31782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breast_cervical_topolink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3178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>TopoLink-CCI recovers tissue-context-specific top axes across Breast and Cervical WTA datasets.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Figure: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D:\GitHub\pyXenium\benchmarking\cci_2026_atera\results\preview_completed_20260511\figures\fig4_breast_cervical_topolink_comparison.png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Source data: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D:\GitHub\pyXenium\benchmarking\cci_2026_atera\results\preview_completed_20260511\source_data\fig4_breast_cervical_topolink_comparison.tsv</w:t>
      </w:r>
    </w:p>
    <w:p>
      <w:pPr>
        <w:pStyle w:val="Heading3"/>
      </w:pPr>
      <w:r>
        <w:t>Figure panel 8. Cervical WTA TopoLink-CCI top axes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23760" cy="43888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b_cervical_topolink_top_ax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388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>Cervical WTA full common-db result contains 2,404,971 rows and is led by DSC2-DSG3.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Figure: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D:\GitHub\pyXenium\benchmarking\cci_2026_atera\results\preview_completed_20260511\figures\fig3b_cervical_topolink_top_axes.png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Source data: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D:\GitHub\pyXenium\benchmarking\cci_2026_atera\results\preview_completed_20260511\source_data\fig3b_cervical_topolink_top_axes.tsv</w:t>
      </w:r>
    </w:p>
    <w:p>
      <w:r>
        <w:br w:type="page"/>
      </w:r>
    </w:p>
    <w:p>
      <w:pPr>
        <w:pStyle w:val="Heading1"/>
      </w:pPr>
      <w:r>
        <w:t>Scope of Benchmark and Technical Limitations</w:t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 xml:space="preserve">本 benchmark 不把所有外部 CCI 方法强行推进到 whole-dataset full run，而是为每个方法保留 full result、bounded subset result 或 reproducible failure card。SpaTalk smoke20k 完成 </w:t>
      </w:r>
      <w:r>
        <w:rPr>
          <w:rFonts w:ascii="Arial" w:hAnsi="Arial" w:eastAsia="Microsoft YaHei"/>
          <w:b/>
          <w:i w:val="0"/>
          <w:sz w:val="18"/>
        </w:rPr>
        <w:t>66/66 chunks</w:t>
      </w:r>
      <w:r>
        <w:rPr>
          <w:rFonts w:ascii="Arial" w:hAnsi="Arial" w:eastAsia="Microsoft YaHei"/>
          <w:b w:val="0"/>
          <w:i w:val="0"/>
          <w:sz w:val="18"/>
        </w:rPr>
        <w:t>；NICHES pilot50k 完成 1,181,042 rows；Giotto pilot50k 完成 1,151,351 rows。这些结果说明真实方法链路可运行，同时也暴露了大规模 WTA 下的内存、sparse index 和 runtime scalability tradeoff。</w:t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>SCILD 已在官方 source 被重新确认后通过 A100 专用 Python 3.11 环境升级为 bounded subset result：3000 cells × 20 CCI pairs，2,880 rows，峰值内存约 18.9GB。Copulacci 和 NicheNet 是 expanded 18-method benchmark 中仍保留的 reproducible failure cards；Copulacci 官方 source 可安装和 import，但没有可安全映射到 common-resource benchmark 的 native bounded workflow；NicheNet 在 PDC 和 A100 均受 R dependency/API audit 约束，并且其定位更接近 downstream receiver-response support，而不是直接 spatial CCI ranker。FastCCC 已通过 A100 retry 产生 20k bounded standardized output。</w:t>
      </w:r>
    </w:p>
    <w:p>
      <w:pPr>
        <w:pStyle w:val="Heading3"/>
      </w:pPr>
      <w:r>
        <w:t>Figure panel 9. Result row counts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23760" cy="44459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esult_row_cou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445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>Full and bounded outputs differ in scale and should not be collapsed into a single evidence tier.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Figure: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D:\GitHub\pyXenium\benchmarking\cci_2026_atera\results\preview_completed_20260511\figures\fig2_result_row_counts.png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Source data: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D:\GitHub\pyXenium\benchmarking\cci_2026_atera\results\preview_completed_20260511\source_data\fig2_result_row_counts.tsv</w:t>
      </w:r>
    </w:p>
    <w:p>
      <w:pPr>
        <w:pStyle w:val="Heading3"/>
      </w:pPr>
      <w:r>
        <w:t>Figure panel 10. Overlap with TopoLink-CCI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23760" cy="46933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overlap_with_topolin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69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>Overlap with TopoLink-CCI is interpreted as theme-level support, not absolute ground truth.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Figure: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D:\GitHub\pyXenium\benchmarking\cci_2026_atera\results\cross_method_comparison_20260511\figures\fig5_overlap_with_topolink.png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Source data: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D:\GitHub\pyXenium\benchmarking\cci_2026_atera\results\cross_method_comparison_20260511\source_data\fig5_overlap_with_topolink.tsv</w:t>
      </w:r>
    </w:p>
    <w:p>
      <w:r>
        <w:br w:type="page"/>
      </w:r>
    </w:p>
    <w:p>
      <w:pPr>
        <w:pStyle w:val="Heading1"/>
      </w:pPr>
      <w:r>
        <w:t>Methodological Discussion</w:t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>本 benchmark 不直接比较不同方法的 raw score，因为各方法的 score 定义不一致。评价体系采用 rank、canonical recovery、cross-method consistency、false-positive controls、Synthetic Truth 和 cross-dataset generalization。</w:t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>F1 只用于 Synthetic Truth 或预定义 canonical truth set；ARI 不作为主指标，因为当前输出是 interaction-axis ranking，而不是统一 clustering assignment。</w:t>
      </w:r>
    </w:p>
    <w:p>
      <w:pPr>
        <w:spacing w:after="120" w:line="259" w:lineRule="auto"/>
      </w:pPr>
      <w:r>
        <w:rPr>
          <w:rFonts w:ascii="Arial" w:hAnsi="Arial" w:eastAsia="Microsoft YaHei"/>
          <w:b/>
          <w:i w:val="0"/>
          <w:sz w:val="18"/>
        </w:rPr>
        <w:t>本研究建立的评估框架旨在为真实复杂组织切片中的 CCI 优先级排序提供可靠依据，而非单纯追求合成数据集上的指标拟合。</w:t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>TopoLink-CCI 应被表述为 topology-guided spatial CCI hypothesis prioritization framework。所有结论均为 computational evidence，不应被解读为单靠 CCI_score 证明蛋白结合、因果通讯或功能效应。</w:t>
      </w:r>
    </w:p>
    <w:p>
      <w:pPr>
        <w:pStyle w:val="Heading3"/>
      </w:pPr>
      <w:r>
        <w:t>Figure panel 11. Canonical recovery F1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23760" cy="45321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anonical_recovery_f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532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>F1 is used only for predefined canonical truth sets, not global real-tissue CCI ranking.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Figure: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D:\GitHub\pyXenium\benchmarking\cci_2026_atera\results\cross_method_comparison_20260511\figures\fig2_canonical_recovery_f1.png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Source data: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D:\GitHub\pyXenium\benchmarking\cci_2026_atera\results\cross_method_comparison_20260511\source_data\fig2_canonical_recovery_f1.tsv</w:t>
      </w:r>
    </w:p>
    <w:p>
      <w:pPr>
        <w:pStyle w:val="Heading3"/>
      </w:pPr>
      <w:r>
        <w:t>Figure panel 12. Exploratory ARI of top-k binary selections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23760" cy="64773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op100_binary_selection_ari_heat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647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 w:eastAsia="Microsoft YaHei"/>
          <w:b w:val="0"/>
          <w:i w:val="0"/>
          <w:sz w:val="18"/>
        </w:rPr>
        <w:t>ARI is shown as an exploratory top-k selection similarity metric, not a main endpoint.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Figure: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D:\GitHub\pyXenium\benchmarking\cci_2026_atera\results\cross_method_comparison_20260511\figures\fig4_top100_binary_selection_ari_heatmap.png</w:t>
      </w:r>
    </w:p>
    <w:p>
      <w:pPr>
        <w:spacing w:after="60"/>
      </w:pPr>
      <w:r>
        <w:rPr>
          <w:rFonts w:ascii="Arial" w:hAnsi="Arial" w:eastAsia="Microsoft YaHei"/>
          <w:b w:val="0"/>
          <w:i w:val="0"/>
          <w:sz w:val="18"/>
        </w:rPr>
        <w:t xml:space="preserve">Source data: </w:t>
      </w:r>
      <w:r>
        <w:rPr>
          <w:rFonts w:ascii="Arial" w:hAnsi="Arial" w:eastAsia="Microsoft YaHei"/>
          <w:b/>
          <w:i w:val="0"/>
          <w:sz w:val="18"/>
        </w:rPr>
        <w:t>D:\GitHub\pyXenium\benchmarking\cci_2026_atera\results\cross_method_comparison_20260511\source_data\fig4_top100_binary_selection_ari_heatmap.tsv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b w:val="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