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66"/>
      </w:pPr>
      <w:r>
        <w:rPr>
          <w:rFonts w:ascii="Arial" w:hAnsi="Arial" w:cs="Arial"/>
          <w:sz w:val="42"/>
          <w:sz-cs w:val="42"/>
          <w:b/>
          <w:spacing w:val="0"/>
          <w:color w:val="0E0E0E"/>
        </w:rPr>
        <w:t xml:space="preserve">Cover Letter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Dear Editor,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Please consider "Foundation-model morphology maps residual programs in spatial-omics contours" as a Brief Communication for Nature Biotechnology.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The manuscript introduces morphomolecular translation mapping (mTM), a contour-constrained framework for asking whether H&amp;E foundation-model embeddings map residual WTA program variation after spatial-omics-derived contour labels and spatial covariates have already been fixed. This framing differs from H&amp;E-to-expression prediction benchmarks: the primary question is not whether morphology can reconstruct broad molecular domains, but whether morphology carries measurable molecular information within already defined WTA contours.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 breast Atera WTA, mTM nominates residual luminal estrogen-response, unfolded-protein-response and oxidative-phosphorylation continua inside S3 contours. In cervical Atera WTA, the same residual-decoding workflow nominates stromal-remodeling, immune-ecology and invasion-associated programs. The reported associations are tested against compartment-aware spatial permutations that preserve contour labels, centroid-position bins and boundary-distance bins; 13 candidate associations pass the 95% spatial-null gate.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The study is deliberately conservative about what the data support. HistoSeg contours were generated from Atera WTA cell-coordinate and cluster information rather than from H&amp;E segmentation, so the manuscript does not claim independent histological contour discovery, morphology-only deployment, causality, directional boundary mechanisms or protein-level validation. Instead, it uses Atera WTA as a discovery layer to nominate morphology-associated molecular states and boundary ecologies for future orthogonal validation.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We believe the Brief Communication format is appropriate because the manuscript makes one focused methodological and biological point: foundation-model morphology can add residual information within spatial-omics-defined contours rather than merely reproduce those contours. The accompanying source data, code-release reference and reproducibility notes are included to make the initial submission package auditable.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There are no related manuscripts by the author under consideration or in press elsewhere. I have not had prior discussions with a Nature Biotechnology editor about the work described in this manuscript.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Sincerely,</w:t>
      </w:r>
    </w:p>
    <w:p>
      <w:pPr>
        <w:spacing w:after="213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Taobo Hu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