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" w:hAnsi="Arial" w:eastAsia="Microsoft YaHei"/>
          <w:b/>
          <w:i w:val="0"/>
          <w:sz w:val="18"/>
        </w:rPr>
        <w:t>TopoLink-CCI Benchmarking Manuscript-style Report</w:t>
      </w:r>
    </w:p>
    <w:p>
      <w:pPr>
        <w:jc w:val="center"/>
      </w:pPr>
      <w:r>
        <w:rPr>
          <w:rFonts w:ascii="Arial" w:hAnsi="Arial" w:eastAsia="Microsoft YaHei"/>
          <w:b w:val="0"/>
          <w:i/>
          <w:sz w:val="18"/>
        </w:rPr>
        <w:t>Formatted Word report with embedded figures and source-data links</w:t>
      </w:r>
    </w:p>
    <w:p>
      <w:pPr>
        <w:pStyle w:val="Heading1"/>
      </w:pPr>
      <w:r>
        <w:t>Overall Progress</w:t>
      </w:r>
    </w:p>
    <w:p>
      <w:pPr>
        <w:spacing w:after="120" w:line="259" w:lineRule="auto"/>
      </w:pPr>
      <w:r>
        <w:rPr>
          <w:rFonts w:ascii="Arial" w:hAnsi="Arial" w:eastAsia="Microsoft YaHei"/>
          <w:b w:val="0"/>
          <w:i w:val="0"/>
          <w:sz w:val="18"/>
        </w:rPr>
        <w:t>本报告整理 TopoLink-CCI benchmarking 的完整收口状态。主线从 PDC Synthetic Truth 和 false-positive controls 出发，说明方法在受控场景下的 ranking behavior，再引入 Breast WTA 主 benchmark、A100 supplement、bounded appendix 和 Cervical WTA cross-dataset generalization。</w:t>
      </w:r>
    </w:p>
    <w:p>
      <w:pPr>
        <w:spacing w:after="120" w:line="259" w:lineRule="auto"/>
      </w:pPr>
      <w:r>
        <w:rPr>
          <w:rFonts w:ascii="Arial" w:hAnsi="Arial" w:eastAsia="Microsoft YaHei"/>
          <w:b w:val="0"/>
          <w:i w:val="0"/>
          <w:sz w:val="18"/>
        </w:rPr>
        <w:t xml:space="preserve">当前 PDC publication queue 为 </w:t>
      </w:r>
      <w:r>
        <w:rPr>
          <w:rFonts w:ascii="Arial" w:hAnsi="Arial" w:eastAsia="Microsoft YaHei"/>
          <w:b/>
          <w:i w:val="0"/>
          <w:sz w:val="18"/>
        </w:rPr>
        <w:t>0</w:t>
      </w:r>
      <w:r>
        <w:rPr>
          <w:rFonts w:ascii="Arial" w:hAnsi="Arial" w:eastAsia="Microsoft YaHei"/>
          <w:b w:val="0"/>
          <w:i w:val="0"/>
          <w:sz w:val="18"/>
        </w:rPr>
        <w:t>，A100 无 active rescue process。报告口径已升级为 expanded 18-method benchmark：9 个 full success、9 个 bounded success、0 个 reproducible failure card、0 个 deferred candidate methods、0 个 pending/running。这里的 all_methods_accounted=true 表示所有提到的方法都有明确终端状态。</w:t>
      </w:r>
    </w:p>
    <w:p>
      <w:pPr>
        <w:spacing w:after="120" w:line="259" w:lineRule="auto"/>
      </w:pPr>
      <w:r>
        <w:rPr>
          <w:rFonts w:ascii="Arial" w:hAnsi="Arial" w:eastAsia="Microsoft YaHei"/>
          <w:b w:val="0"/>
          <w:i w:val="0"/>
          <w:sz w:val="18"/>
        </w:rPr>
        <w:t>FastCCC、SCILD、Copulacci 和 NicheNet 现在正式计入 expanded denominator，并且均已在 PDC 与 A100 完成终端化处理。FastCCC、SCILD、Copulacci 和 NicheNet 均经 A100 retry 升级为 bounded subset result。</w:t>
      </w:r>
    </w:p>
    <w:p>
      <w:pPr>
        <w:spacing w:after="60"/>
      </w:pPr>
      <w:r>
        <w:rPr>
          <w:rFonts w:ascii="Arial" w:hAnsi="Arial" w:eastAsia="Microsoft YaHei"/>
          <w:b w:val="0"/>
          <w:i w:val="0"/>
          <w:sz w:val="18"/>
        </w:rPr>
        <w:t xml:space="preserve">Key path: </w:t>
      </w:r>
      <w:r>
        <w:rPr>
          <w:rFonts w:ascii="Arial" w:hAnsi="Arial" w:eastAsia="Microsoft YaHei"/>
          <w:b/>
          <w:i w:val="0"/>
          <w:sz w:val="18"/>
        </w:rPr>
        <w:t>D:\GitHub\pyXenium\benchmarking\cci_2026_atera\results\publication_benchmark_24h_20260511</w:t>
      </w:r>
    </w:p>
    <w:p>
      <w:pPr>
        <w:spacing w:after="60"/>
      </w:pPr>
      <w:r>
        <w:rPr>
          <w:rFonts w:ascii="Arial" w:hAnsi="Arial" w:eastAsia="Microsoft YaHei"/>
          <w:b w:val="0"/>
          <w:i w:val="0"/>
          <w:sz w:val="18"/>
        </w:rPr>
        <w:t xml:space="preserve">Key path: </w:t>
      </w:r>
      <w:r>
        <w:rPr>
          <w:rFonts w:ascii="Arial" w:hAnsi="Arial" w:eastAsia="Microsoft YaHei"/>
          <w:b/>
          <w:i w:val="0"/>
          <w:sz w:val="18"/>
        </w:rPr>
        <w:t>/cfs/klemming/scratch/h/hutaobo/pyxenium_cci_benchmark_2026-04</w:t>
      </w:r>
    </w:p>
    <w:p>
      <w:pPr>
        <w:spacing w:after="60"/>
      </w:pPr>
      <w:r>
        <w:rPr>
          <w:rFonts w:ascii="Arial" w:hAnsi="Arial" w:eastAsia="Microsoft YaHei"/>
          <w:b w:val="0"/>
          <w:i w:val="0"/>
          <w:sz w:val="18"/>
        </w:rPr>
        <w:t xml:space="preserve">Key path: </w:t>
      </w:r>
      <w:r>
        <w:rPr>
          <w:rFonts w:ascii="Arial" w:hAnsi="Arial" w:eastAsia="Microsoft YaHei"/>
          <w:b/>
          <w:i w:val="0"/>
          <w:sz w:val="18"/>
        </w:rPr>
        <w:t>/data/taobo.hu/pyxenium_lr_benchmark_2026-04</w:t>
      </w:r>
    </w:p>
    <w:p>
      <w:pPr>
        <w:pStyle w:val="Heading2"/>
      </w:pPr>
      <w:r>
        <w:t>Summary of Evaluated Methods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935"/>
            <w:shd w:fill="D9EAF7"/>
            <w:vAlign w:val="center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/>
                <w:sz w:val="14"/>
              </w:rPr>
              <w:t>Dataset</w:t>
            </w:r>
          </w:p>
        </w:tc>
        <w:tc>
          <w:tcPr>
            <w:tcW w:type="dxa" w:w="1935"/>
            <w:shd w:fill="D9EAF7"/>
            <w:vAlign w:val="center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/>
                <w:sz w:val="14"/>
              </w:rPr>
              <w:t>Method</w:t>
            </w:r>
          </w:p>
        </w:tc>
        <w:tc>
          <w:tcPr>
            <w:tcW w:type="dxa" w:w="1935"/>
            <w:shd w:fill="D9EAF7"/>
            <w:vAlign w:val="center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/>
                <w:sz w:val="14"/>
              </w:rPr>
              <w:t>Status</w:t>
            </w:r>
          </w:p>
        </w:tc>
        <w:tc>
          <w:tcPr>
            <w:tcW w:type="dxa" w:w="1935"/>
            <w:shd w:fill="D9EAF7"/>
            <w:vAlign w:val="center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/>
                <w:sz w:val="14"/>
              </w:rPr>
              <w:t>Evidence tier</w:t>
            </w:r>
          </w:p>
        </w:tc>
        <w:tc>
          <w:tcPr>
            <w:tcW w:type="dxa" w:w="1935"/>
            <w:shd w:fill="D9EAF7"/>
            <w:vAlign w:val="center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/>
                <w:sz w:val="14"/>
              </w:rPr>
              <w:t>Phase</w:t>
            </w:r>
          </w:p>
        </w:tc>
        <w:tc>
          <w:tcPr>
            <w:tcW w:type="dxa" w:w="1935"/>
            <w:shd w:fill="D9EAF7"/>
            <w:vAlign w:val="center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/>
                <w:sz w:val="14"/>
              </w:rPr>
              <w:t>Rows</w:t>
            </w:r>
          </w:p>
        </w:tc>
        <w:tc>
          <w:tcPr>
            <w:tcW w:type="dxa" w:w="1935"/>
            <w:shd w:fill="D9EAF7"/>
            <w:vAlign w:val="center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/>
                <w:sz w:val="14"/>
              </w:rPr>
              <w:t>Hardware/source</w:t>
            </w:r>
          </w:p>
        </w:tc>
        <w:tc>
          <w:tcPr>
            <w:tcW w:type="dxa" w:w="1935"/>
            <w:shd w:fill="D9EAF7"/>
            <w:vAlign w:val="center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/>
                <w:sz w:val="14"/>
              </w:rPr>
              <w:t>Interpretation</w:t>
            </w:r>
          </w:p>
        </w:tc>
      </w:tr>
      <w:tr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Breast WTA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TopoLink-CCI</w:t>
            </w:r>
          </w:p>
        </w:tc>
        <w:tc>
          <w:tcPr>
            <w:tcW w:type="dxa" w:w="1935"/>
            <w:shd w:fill="DDEEDB"/>
            <w:shd w:fill="DDEEDB"/>
            <w:vAlign w:val="top"/>
            <w:shd w:fill="DDEEDB"/>
            <w:shd w:fill="DDEEDB"/>
            <w:shd w:fill="DDEEDB"/>
            <w:shd w:fill="DDEEDB"/>
            <w:shd w:fill="DDEEDB"/>
            <w:shd w:fill="DDEEDB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Full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Main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full common-db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1,319,600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PDC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Primary clean full-common result.</w:t>
            </w:r>
          </w:p>
        </w:tc>
      </w:tr>
      <w:tr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Breast WTA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CellPhoneDB</w:t>
            </w:r>
          </w:p>
        </w:tc>
        <w:tc>
          <w:tcPr>
            <w:tcW w:type="dxa" w:w="1935"/>
            <w:shd w:fill="DDEEDB"/>
            <w:shd w:fill="DDEEDB"/>
            <w:vAlign w:val="top"/>
            <w:shd w:fill="DDEEDB"/>
            <w:shd w:fill="DDEEDB"/>
            <w:shd w:fill="DDEEDB"/>
            <w:shd w:fill="DDEEDB"/>
            <w:shd w:fill="DDEEDB"/>
            <w:shd w:fill="DDEEDB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Full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Main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full common-db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reported in artifact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PDC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Reproducible non-spatial expression baseline.</w:t>
            </w:r>
          </w:p>
        </w:tc>
      </w:tr>
      <w:tr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Breast WTA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LARIS</w:t>
            </w:r>
          </w:p>
        </w:tc>
        <w:tc>
          <w:tcPr>
            <w:tcW w:type="dxa" w:w="1935"/>
            <w:shd w:fill="DDEEDB"/>
            <w:shd w:fill="DDEEDB"/>
            <w:vAlign w:val="top"/>
            <w:shd w:fill="DDEEDB"/>
            <w:shd w:fill="DDEEDB"/>
            <w:shd w:fill="DDEEDB"/>
            <w:shd w:fill="DDEEDB"/>
            <w:shd w:fill="DDEEDB"/>
            <w:shd w:fill="DDEEDB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Full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Main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full common-db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reported in artifact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PDC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Diffusion/spatial smoothing comparator.</w:t>
            </w:r>
          </w:p>
        </w:tc>
      </w:tr>
      <w:tr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Breast WTA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LIANA+</w:t>
            </w:r>
          </w:p>
        </w:tc>
        <w:tc>
          <w:tcPr>
            <w:tcW w:type="dxa" w:w="1935"/>
            <w:shd w:fill="DDEEDB"/>
            <w:shd w:fill="DDEEDB"/>
            <w:vAlign w:val="top"/>
            <w:shd w:fill="DDEEDB"/>
            <w:shd w:fill="DDEEDB"/>
            <w:shd w:fill="DDEEDB"/>
            <w:shd w:fill="DDEEDB"/>
            <w:shd w:fill="DDEEDB"/>
            <w:shd w:fill="DDEEDB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Full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Main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full common-db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reported in artifact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PDC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Spatial bivariate/multi-method comparator.</w:t>
            </w:r>
          </w:p>
        </w:tc>
      </w:tr>
      <w:tr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Breast WTA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SpatialDM</w:t>
            </w:r>
          </w:p>
        </w:tc>
        <w:tc>
          <w:tcPr>
            <w:tcW w:type="dxa" w:w="1935"/>
            <w:shd w:fill="DDEEDB"/>
            <w:shd w:fill="DDEEDB"/>
            <w:vAlign w:val="top"/>
            <w:shd w:fill="DDEEDB"/>
            <w:shd w:fill="DDEEDB"/>
            <w:shd w:fill="DDEEDB"/>
            <w:shd w:fill="DDEEDB"/>
            <w:shd w:fill="DDEEDB"/>
            <w:shd w:fill="DDEEDB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Full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Main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full common-db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reported in artifact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PDC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Spatial co-expression/null comparator.</w:t>
            </w:r>
          </w:p>
        </w:tc>
      </w:tr>
      <w:tr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Breast WTA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stLearn</w:t>
            </w:r>
          </w:p>
        </w:tc>
        <w:tc>
          <w:tcPr>
            <w:tcW w:type="dxa" w:w="1935"/>
            <w:shd w:fill="DDEEDB"/>
            <w:shd w:fill="DDEEDB"/>
            <w:vAlign w:val="top"/>
            <w:shd w:fill="DDEEDB"/>
            <w:shd w:fill="DDEEDB"/>
            <w:shd w:fill="DDEEDB"/>
            <w:shd w:fill="DDEEDB"/>
            <w:shd w:fill="DDEEDB"/>
            <w:shd w:fill="DDEEDB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Full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Main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full common-db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reported in artifact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PDC/A100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Spatial neighborhood permutation comparator.</w:t>
            </w:r>
          </w:p>
        </w:tc>
      </w:tr>
      <w:tr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Breast WTA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Squidpy</w:t>
            </w:r>
          </w:p>
        </w:tc>
        <w:tc>
          <w:tcPr>
            <w:tcW w:type="dxa" w:w="1935"/>
            <w:shd w:fill="DDEEDB"/>
            <w:shd w:fill="DDEEDB"/>
            <w:vAlign w:val="top"/>
            <w:shd w:fill="DDEEDB"/>
            <w:shd w:fill="DDEEDB"/>
            <w:shd w:fill="DDEEDB"/>
            <w:shd w:fill="DDEEDB"/>
            <w:shd w:fill="DDEEDB"/>
            <w:shd w:fill="DDEEDB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Full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Supplement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full common-db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1,319,600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A100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Permutation-style ligrec supplement.</w:t>
            </w:r>
          </w:p>
        </w:tc>
      </w:tr>
      <w:tr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Breast WTA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CellChat</w:t>
            </w:r>
          </w:p>
        </w:tc>
        <w:tc>
          <w:tcPr>
            <w:tcW w:type="dxa" w:w="1935"/>
            <w:shd w:fill="DDEEDB"/>
            <w:shd w:fill="DDEEDB"/>
            <w:vAlign w:val="top"/>
            <w:shd w:fill="DDEEDB"/>
            <w:shd w:fill="DDEEDB"/>
            <w:shd w:fill="DDEEDB"/>
            <w:shd w:fill="DDEEDB"/>
            <w:shd w:fill="DDEEDB"/>
            <w:shd w:fill="DDEEDB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Full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Supplement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LR-only full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31,592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A100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Pathway step disabled because of runtime bug.</w:t>
            </w:r>
          </w:p>
        </w:tc>
      </w:tr>
      <w:tr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Breast WTA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COMMOT</w:t>
            </w:r>
          </w:p>
        </w:tc>
        <w:tc>
          <w:tcPr>
            <w:tcW w:type="dxa" w:w="1935"/>
            <w:shd w:fill="DDEEDB"/>
            <w:shd w:fill="DDEEDB"/>
            <w:vAlign w:val="top"/>
            <w:shd w:fill="DDEEDB"/>
            <w:shd w:fill="DDEEDB"/>
            <w:shd w:fill="DDEEDB"/>
            <w:shd w:fill="DDEEDB"/>
            <w:shd w:fill="DDEEDB"/>
            <w:shd w:fill="DDEEDB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Full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Appendix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chunked full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724,604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A100/PDC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Transport/diffusion comparator; 16/16 chunks merged.</w:t>
            </w:r>
          </w:p>
        </w:tc>
      </w:tr>
      <w:tr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Breast WTA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Giotto</w:t>
            </w:r>
          </w:p>
        </w:tc>
        <w:tc>
          <w:tcPr>
            <w:tcW w:type="dxa" w:w="1935"/>
            <w:shd w:fill="FFF2CC"/>
            <w:shd w:fill="FFF2CC"/>
            <w:vAlign w:val="top"/>
            <w:shd w:fill="FFF2CC"/>
            <w:shd w:fill="FFF2CC"/>
            <w:shd w:fill="FFF2CC"/>
            <w:shd w:fill="FFF2CC"/>
            <w:shd w:fill="FFF2CC"/>
            <w:shd w:fill="FFF2CC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Bounded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Appendix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pilot50k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1,151,351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A100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Full limited by R Matrix/TsparseMatrix 2^31-1 sparse index boundary.</w:t>
            </w:r>
          </w:p>
        </w:tc>
      </w:tr>
      <w:tr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Breast WTA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SpaTalk</w:t>
            </w:r>
          </w:p>
        </w:tc>
        <w:tc>
          <w:tcPr>
            <w:tcW w:type="dxa" w:w="1935"/>
            <w:shd w:fill="FFF2CC"/>
            <w:shd w:fill="FFF2CC"/>
            <w:vAlign w:val="top"/>
            <w:shd w:fill="FFF2CC"/>
            <w:shd w:fill="FFF2CC"/>
            <w:shd w:fill="FFF2CC"/>
            <w:shd w:fill="FFF2CC"/>
            <w:shd w:fill="FFF2CC"/>
            <w:shd w:fill="FFF2CC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Bounded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Appendix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smoke20k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37,532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A100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66/66 smoke chunks completed; pilot50k had no usable output.</w:t>
            </w:r>
          </w:p>
        </w:tc>
      </w:tr>
      <w:tr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Breast WTA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NICHES</w:t>
            </w:r>
          </w:p>
        </w:tc>
        <w:tc>
          <w:tcPr>
            <w:tcW w:type="dxa" w:w="1935"/>
            <w:shd w:fill="FFF2CC"/>
            <w:shd w:fill="FFF2CC"/>
            <w:vAlign w:val="top"/>
            <w:shd w:fill="FFF2CC"/>
            <w:shd w:fill="FFF2CC"/>
            <w:shd w:fill="FFF2CC"/>
            <w:shd w:fill="FFF2CC"/>
            <w:shd w:fill="FFF2CC"/>
            <w:shd w:fill="FFF2CC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Bounded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Appendix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pilot50k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1,181,042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A100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Full stopped by memory safety gate.</w:t>
            </w:r>
          </w:p>
        </w:tc>
      </w:tr>
      <w:tr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Breast WTA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CellNEST</w:t>
            </w:r>
          </w:p>
        </w:tc>
        <w:tc>
          <w:tcPr>
            <w:tcW w:type="dxa" w:w="1935"/>
            <w:shd w:fill="FFF2CC"/>
            <w:shd w:fill="FFF2CC"/>
            <w:vAlign w:val="top"/>
            <w:shd w:fill="FFF2CC"/>
            <w:shd w:fill="FFF2CC"/>
            <w:shd w:fill="FFF2CC"/>
            <w:shd w:fill="FFF2CC"/>
            <w:shd w:fill="FFF2CC"/>
            <w:shd w:fill="FFF2CC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Bounded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Appendix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pilot50k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157,553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A100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Bounded GPU/source workflow result.</w:t>
            </w:r>
          </w:p>
        </w:tc>
      </w:tr>
      <w:tr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Breast WTA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CellAgentChat</w:t>
            </w:r>
          </w:p>
        </w:tc>
        <w:tc>
          <w:tcPr>
            <w:tcW w:type="dxa" w:w="1935"/>
            <w:shd w:fill="FFF2CC"/>
            <w:shd w:fill="FFF2CC"/>
            <w:vAlign w:val="top"/>
            <w:shd w:fill="FFF2CC"/>
            <w:shd w:fill="FFF2CC"/>
            <w:shd w:fill="FFF2CC"/>
            <w:shd w:fill="FFF2CC"/>
            <w:shd w:fill="FFF2CC"/>
            <w:shd w:fill="FFF2CC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Bounded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Appendix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pilot50k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1,143,543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A100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16/16 pilot chunks succeeded; full resource exceeded.</w:t>
            </w:r>
          </w:p>
        </w:tc>
      </w:tr>
      <w:tr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Breast WTA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SCILD</w:t>
            </w:r>
          </w:p>
        </w:tc>
        <w:tc>
          <w:tcPr>
            <w:tcW w:type="dxa" w:w="1935"/>
            <w:shd w:fill="FFF2CC"/>
            <w:shd w:fill="FFF2CC"/>
            <w:vAlign w:val="top"/>
            <w:shd w:fill="FFF2CC"/>
            <w:shd w:fill="FFF2CC"/>
            <w:shd w:fill="FFF2CC"/>
            <w:shd w:fill="FFF2CC"/>
            <w:shd w:fill="FFF2CC"/>
            <w:shd w:fill="FFF2CC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Bounded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Bounded appendix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smoke3k common-db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2,880 rows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A100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Official source-backed ligand-diffusion bounded retry succeeded: 3000 cells x 20 CCI pairs, peak RSS about 18.9GB.</w:t>
            </w:r>
          </w:p>
        </w:tc>
      </w:tr>
      <w:tr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Breast WTA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FastCCC</w:t>
            </w:r>
          </w:p>
        </w:tc>
        <w:tc>
          <w:tcPr>
            <w:tcW w:type="dxa" w:w="1935"/>
            <w:shd w:fill="FFF2CC"/>
            <w:shd w:fill="FFF2CC"/>
            <w:vAlign w:val="top"/>
            <w:shd w:fill="FFF2CC"/>
            <w:shd w:fill="FFF2CC"/>
            <w:shd w:fill="FFF2CC"/>
            <w:shd w:fill="FFF2CC"/>
            <w:shd w:fill="FFF2CC"/>
            <w:shd w:fill="FFF2CC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Bounded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Appendix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smoke20k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1,319,600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A100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A100 retry succeeded after PDC standardization failure; analytic non-spatial expression baseline.</w:t>
            </w:r>
          </w:p>
        </w:tc>
      </w:tr>
      <w:tr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Breast WTA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Copulacci</w:t>
            </w:r>
          </w:p>
        </w:tc>
        <w:tc>
          <w:tcPr>
            <w:tcW w:type="dxa" w:w="1935"/>
            <w:shd w:fill="FFF2CC"/>
            <w:shd w:fill="FFF2CC"/>
            <w:vAlign w:val="top"/>
            <w:shd w:fill="FFF2CC"/>
            <w:shd w:fill="FFF2CC"/>
            <w:shd w:fill="FFF2CC"/>
            <w:shd w:fill="FFF2CC"/>
            <w:shd w:fill="FFF2CC"/>
            <w:shd w:fill="FFF2CC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Bounded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Appendix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smoke20k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13,981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A100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Official source-backed copulacci.model2.run_scc bounded retry; 50k expansion stopped for dense adjacency memory risk.</w:t>
            </w:r>
          </w:p>
        </w:tc>
      </w:tr>
      <w:tr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Breast WTA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NicheNet</w:t>
            </w:r>
          </w:p>
        </w:tc>
        <w:tc>
          <w:tcPr>
            <w:tcW w:type="dxa" w:w="1935"/>
            <w:shd w:fill="FFF2CC"/>
            <w:shd w:fill="FFF2CC"/>
            <w:vAlign w:val="top"/>
            <w:shd w:fill="FFF2CC"/>
            <w:shd w:fill="FFF2CC"/>
            <w:shd w:fill="FFF2CC"/>
            <w:shd w:fill="FFF2CC"/>
            <w:shd w:fill="FFF2CC"/>
            <w:shd w:fill="FFF2CC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Bounded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Appendix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smoke20k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215,542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A100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Clean R retry with official nichenetr and Zenodo v2 ligand-target prior; downstream receiver-response support, not direct spatial CCI ranking.</w:t>
            </w:r>
          </w:p>
        </w:tc>
      </w:tr>
      <w:tr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Cervical WTA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TopoLink-CCI</w:t>
            </w:r>
          </w:p>
        </w:tc>
        <w:tc>
          <w:tcPr>
            <w:tcW w:type="dxa" w:w="1935"/>
            <w:shd w:fill="DDEEDB"/>
            <w:shd w:fill="DDEEDB"/>
            <w:vAlign w:val="top"/>
            <w:shd w:fill="DDEEDB"/>
            <w:shd w:fill="DDEEDB"/>
            <w:shd w:fill="DDEEDB"/>
            <w:shd w:fill="DDEEDB"/>
            <w:shd w:fill="DDEEDB"/>
            <w:shd w:fill="DDEEDB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Full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Cross-dataset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full common-db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2,404,971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PDC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Top hit: DSC2-DSG3 in differentiating tumor cells.</w:t>
            </w:r>
          </w:p>
        </w:tc>
      </w:tr>
    </w:tbl>
    <w:p>
      <w:pPr>
        <w:pStyle w:val="Heading3"/>
      </w:pPr>
      <w:r>
        <w:t>Figure panel 1. Benchmark completion status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223760" cy="4824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ompletion_statu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23760" cy="4824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59" w:lineRule="auto"/>
      </w:pPr>
      <w:r>
        <w:rPr>
          <w:rFonts w:ascii="Arial" w:hAnsi="Arial" w:eastAsia="Microsoft YaHei"/>
          <w:b w:val="0"/>
          <w:i w:val="0"/>
          <w:sz w:val="18"/>
        </w:rPr>
        <w:t>Overview of full, bounded, and reproducible failure-card method states.</w:t>
      </w:r>
    </w:p>
    <w:p>
      <w:pPr>
        <w:spacing w:after="60"/>
      </w:pPr>
      <w:r>
        <w:rPr>
          <w:rFonts w:ascii="Arial" w:hAnsi="Arial" w:eastAsia="Microsoft YaHei"/>
          <w:b w:val="0"/>
          <w:i w:val="0"/>
          <w:sz w:val="18"/>
        </w:rPr>
        <w:t xml:space="preserve">Figure: </w:t>
      </w:r>
      <w:r>
        <w:rPr>
          <w:rFonts w:ascii="Arial" w:hAnsi="Arial" w:eastAsia="Microsoft YaHei"/>
          <w:b/>
          <w:i w:val="0"/>
          <w:sz w:val="18"/>
        </w:rPr>
        <w:t>D:\GitHub\pyXenium\benchmarking\cci_2026_atera\results\preview_completed_20260511\figures\fig1_completion_status.png</w:t>
      </w:r>
    </w:p>
    <w:p>
      <w:pPr>
        <w:spacing w:after="60"/>
      </w:pPr>
      <w:r>
        <w:rPr>
          <w:rFonts w:ascii="Arial" w:hAnsi="Arial" w:eastAsia="Microsoft YaHei"/>
          <w:b w:val="0"/>
          <w:i w:val="0"/>
          <w:sz w:val="18"/>
        </w:rPr>
        <w:t xml:space="preserve">Source data: </w:t>
      </w:r>
      <w:r>
        <w:rPr>
          <w:rFonts w:ascii="Arial" w:hAnsi="Arial" w:eastAsia="Microsoft YaHei"/>
          <w:b/>
          <w:i w:val="0"/>
          <w:sz w:val="18"/>
        </w:rPr>
        <w:t>D:\GitHub\pyXenium\benchmarking\cci_2026_atera\results\preview_completed_20260511\source_data\fig1_completion_status.tsv</w:t>
      </w:r>
    </w:p>
    <w:p>
      <w:r>
        <w:br w:type="page"/>
      </w:r>
    </w:p>
    <w:p>
      <w:pPr>
        <w:pStyle w:val="Heading1"/>
      </w:pPr>
      <w:r>
        <w:t>Validation &amp; Controls</w:t>
      </w:r>
    </w:p>
    <w:p>
      <w:pPr>
        <w:spacing w:after="120" w:line="259" w:lineRule="auto"/>
      </w:pPr>
      <w:r>
        <w:rPr>
          <w:rFonts w:ascii="Arial" w:hAnsi="Arial" w:eastAsia="Microsoft YaHei"/>
          <w:b w:val="0"/>
          <w:i w:val="0"/>
          <w:sz w:val="18"/>
        </w:rPr>
        <w:t xml:space="preserve">PDC Synthetic Truth 结果提供了真实 WTA benchmark 的前置可信度论证。完整 TopoLink-CCI 模型获得 </w:t>
      </w:r>
      <w:r>
        <w:rPr>
          <w:rFonts w:ascii="Arial" w:hAnsi="Arial" w:eastAsia="Microsoft YaHei"/>
          <w:b/>
          <w:i w:val="0"/>
          <w:sz w:val="18"/>
        </w:rPr>
        <w:t>AUROC 0.9919</w:t>
      </w:r>
      <w:r>
        <w:rPr>
          <w:rFonts w:ascii="Arial" w:hAnsi="Arial" w:eastAsia="Microsoft YaHei"/>
          <w:b w:val="0"/>
          <w:i w:val="0"/>
          <w:sz w:val="18"/>
        </w:rPr>
        <w:t xml:space="preserve"> 和 </w:t>
      </w:r>
      <w:r>
        <w:rPr>
          <w:rFonts w:ascii="Arial" w:hAnsi="Arial" w:eastAsia="Microsoft YaHei"/>
          <w:b/>
          <w:i w:val="0"/>
          <w:sz w:val="18"/>
        </w:rPr>
        <w:t>AUPRC 0.8333</w:t>
      </w:r>
      <w:r>
        <w:rPr>
          <w:rFonts w:ascii="Arial" w:hAnsi="Arial" w:eastAsia="Microsoft YaHei"/>
          <w:b w:val="0"/>
          <w:i w:val="0"/>
          <w:sz w:val="18"/>
        </w:rPr>
        <w:t>。expression-only 为 AUROC 0.9839 / AUPRC 0.8333，contact-only 为 AUROC 0.9919 / AUPRC 0.8333，而 topology-anchor-only 虽然 AUROC 为 0.9839，但 AUPRC 降至 0.5833。</w:t>
      </w:r>
    </w:p>
    <w:p>
      <w:pPr>
        <w:spacing w:after="120" w:line="259" w:lineRule="auto"/>
      </w:pPr>
      <w:r>
        <w:rPr>
          <w:rFonts w:ascii="Arial" w:hAnsi="Arial" w:eastAsia="Microsoft YaHei"/>
          <w:b w:val="0"/>
          <w:i w:val="0"/>
          <w:sz w:val="18"/>
        </w:rPr>
        <w:t>该结果说明 Topology Anchor 单独使用不足以稳定排序 positive CCI axes；完整模型通过 expression specificity 和 local contact 补充拓扑信息，提升 precision-recall ranking 的稳定性。</w:t>
      </w:r>
    </w:p>
    <w:p>
      <w:pPr>
        <w:pStyle w:val="Heading3"/>
      </w:pPr>
      <w:r>
        <w:t>Figure panel 2. Synthetic Truth validation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223760" cy="4575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nthetic_truth_auroc_aupr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223760" cy="4575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59" w:lineRule="auto"/>
      </w:pPr>
      <w:r>
        <w:rPr>
          <w:rFonts w:ascii="Arial" w:hAnsi="Arial" w:eastAsia="Microsoft YaHei"/>
          <w:b w:val="0"/>
          <w:i w:val="0"/>
          <w:sz w:val="18"/>
        </w:rPr>
        <w:t>TopoLink-CCI achieves AUROC 0.9919 and AUPRC 0.8333; topology-anchor-only loses precision-recall stability.</w:t>
      </w:r>
    </w:p>
    <w:p>
      <w:pPr>
        <w:spacing w:after="60"/>
      </w:pPr>
      <w:r>
        <w:rPr>
          <w:rFonts w:ascii="Arial" w:hAnsi="Arial" w:eastAsia="Microsoft YaHei"/>
          <w:b w:val="0"/>
          <w:i w:val="0"/>
          <w:sz w:val="18"/>
        </w:rPr>
        <w:t xml:space="preserve">Figure: </w:t>
      </w:r>
      <w:r>
        <w:rPr>
          <w:rFonts w:ascii="Arial" w:hAnsi="Arial" w:eastAsia="Microsoft YaHei"/>
          <w:b/>
          <w:i w:val="0"/>
          <w:sz w:val="18"/>
        </w:rPr>
        <w:t>D:\GitHub\pyXenium\benchmarking\cci_2026_atera\results\publication_benchmark_24h_20260511\pdc_collected\publication_benchmark_24h_20260511\synthetic_truth\figures\synthetic_truth_auroc_auprc.png</w:t>
      </w:r>
    </w:p>
    <w:p>
      <w:pPr>
        <w:spacing w:after="60"/>
      </w:pPr>
      <w:r>
        <w:rPr>
          <w:rFonts w:ascii="Arial" w:hAnsi="Arial" w:eastAsia="Microsoft YaHei"/>
          <w:b w:val="0"/>
          <w:i w:val="0"/>
          <w:sz w:val="18"/>
        </w:rPr>
        <w:t xml:space="preserve">Source data: </w:t>
      </w:r>
      <w:r>
        <w:rPr>
          <w:rFonts w:ascii="Arial" w:hAnsi="Arial" w:eastAsia="Microsoft YaHei"/>
          <w:b/>
          <w:i w:val="0"/>
          <w:sz w:val="18"/>
        </w:rPr>
        <w:t>D:\GitHub\pyXenium\benchmarking\cci_2026_atera\results\publication_benchmark_24h_20260511\pdc_collected\publication_benchmark_24h_20260511\synthetic_truth\tables\synthetic_truth_metrics.tsv</w:t>
      </w:r>
    </w:p>
    <w:p>
      <w:r>
        <w:br w:type="page"/>
      </w:r>
    </w:p>
    <w:p>
      <w:pPr>
        <w:pStyle w:val="Heading1"/>
      </w:pPr>
      <w:r>
        <w:t>Core Benchmarking Results</w:t>
      </w:r>
    </w:p>
    <w:p>
      <w:pPr>
        <w:pStyle w:val="Heading2"/>
      </w:pPr>
      <w:r>
        <w:t>Breast WTA common-db main comparison</w:t>
      </w:r>
    </w:p>
    <w:p>
      <w:pPr>
        <w:spacing w:after="120" w:line="259" w:lineRule="auto"/>
      </w:pPr>
      <w:r>
        <w:rPr>
          <w:rFonts w:ascii="Arial" w:hAnsi="Arial" w:eastAsia="Microsoft YaHei"/>
          <w:b w:val="0"/>
          <w:i w:val="0"/>
          <w:sz w:val="18"/>
        </w:rPr>
        <w:t xml:space="preserve">Breast WTA 是主实验数据集。TopoLink-CCI Breast full result 产生 </w:t>
      </w:r>
      <w:r>
        <w:rPr>
          <w:rFonts w:ascii="Arial" w:hAnsi="Arial" w:eastAsia="Microsoft YaHei"/>
          <w:b/>
          <w:i w:val="0"/>
          <w:sz w:val="18"/>
        </w:rPr>
        <w:t>1,319,600 rows</w:t>
      </w:r>
      <w:r>
        <w:rPr>
          <w:rFonts w:ascii="Arial" w:hAnsi="Arial" w:eastAsia="Microsoft YaHei"/>
          <w:b w:val="0"/>
          <w:i w:val="0"/>
          <w:sz w:val="18"/>
        </w:rPr>
        <w:t>，构成 biological interpretation、classic CCI axis selection、validation 和 cross-method consistency 的主要输入。</w:t>
      </w:r>
    </w:p>
    <w:p>
      <w:pPr>
        <w:spacing w:after="60"/>
      </w:pPr>
      <w:r>
        <w:rPr>
          <w:rFonts w:ascii="Arial" w:hAnsi="Arial" w:eastAsia="Microsoft YaHei"/>
          <w:b w:val="0"/>
          <w:i w:val="0"/>
          <w:sz w:val="18"/>
        </w:rPr>
        <w:t xml:space="preserve">TopoLink-CCI Breast artifact: </w:t>
      </w:r>
      <w:r>
        <w:rPr>
          <w:rFonts w:ascii="Arial" w:hAnsi="Arial" w:eastAsia="Microsoft YaHei"/>
          <w:b/>
          <w:i w:val="0"/>
          <w:sz w:val="18"/>
        </w:rPr>
        <w:t>pdc_collected/pdc_20260426_1327/runs/full_common/pyxenium</w:t>
      </w:r>
    </w:p>
    <w:p>
      <w:pPr>
        <w:pStyle w:val="Heading3"/>
      </w:pPr>
      <w:r>
        <w:t>Figure panel 3. Breast WTA TopoLink-CCI top axes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223760" cy="415566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breast_topolink_top_ax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223760" cy="4155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59" w:lineRule="auto"/>
      </w:pPr>
      <w:r>
        <w:rPr>
          <w:rFonts w:ascii="Arial" w:hAnsi="Arial" w:eastAsia="Microsoft YaHei"/>
          <w:b w:val="0"/>
          <w:i w:val="0"/>
          <w:sz w:val="18"/>
        </w:rPr>
        <w:t>High-ranking Breast WTA axes emphasize vascular, stromal, immune and Notch-associated CCI themes.</w:t>
      </w:r>
    </w:p>
    <w:p>
      <w:pPr>
        <w:spacing w:after="60"/>
      </w:pPr>
      <w:r>
        <w:rPr>
          <w:rFonts w:ascii="Arial" w:hAnsi="Arial" w:eastAsia="Microsoft YaHei"/>
          <w:b w:val="0"/>
          <w:i w:val="0"/>
          <w:sz w:val="18"/>
        </w:rPr>
        <w:t xml:space="preserve">Figure: </w:t>
      </w:r>
      <w:r>
        <w:rPr>
          <w:rFonts w:ascii="Arial" w:hAnsi="Arial" w:eastAsia="Microsoft YaHei"/>
          <w:b/>
          <w:i w:val="0"/>
          <w:sz w:val="18"/>
        </w:rPr>
        <w:t>D:\GitHub\pyXenium\benchmarking\cci_2026_atera\results\preview_completed_20260511\figures\fig3_breast_topolink_top_axes.png</w:t>
      </w:r>
    </w:p>
    <w:p>
      <w:pPr>
        <w:spacing w:after="60"/>
      </w:pPr>
      <w:r>
        <w:rPr>
          <w:rFonts w:ascii="Arial" w:hAnsi="Arial" w:eastAsia="Microsoft YaHei"/>
          <w:b w:val="0"/>
          <w:i w:val="0"/>
          <w:sz w:val="18"/>
        </w:rPr>
        <w:t xml:space="preserve">Source data: </w:t>
      </w:r>
      <w:r>
        <w:rPr>
          <w:rFonts w:ascii="Arial" w:hAnsi="Arial" w:eastAsia="Microsoft YaHei"/>
          <w:b/>
          <w:i w:val="0"/>
          <w:sz w:val="18"/>
        </w:rPr>
        <w:t>D:\GitHub\pyXenium\benchmarking\cci_2026_atera\results\preview_completed_20260511\source_data\fig3_breast_topolink_top_axes.tsv</w:t>
      </w:r>
    </w:p>
    <w:p>
      <w:pPr>
        <w:pStyle w:val="Heading3"/>
      </w:pPr>
      <w:r>
        <w:t>Figure panel 4. Canonical pair rank matrix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223760" cy="540961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canonical_pair_rank_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223760" cy="5409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59" w:lineRule="auto"/>
      </w:pPr>
      <w:r>
        <w:rPr>
          <w:rFonts w:ascii="Arial" w:hAnsi="Arial" w:eastAsia="Microsoft YaHei"/>
          <w:b w:val="0"/>
          <w:i w:val="0"/>
          <w:sz w:val="18"/>
        </w:rPr>
        <w:t>Canonical axis recovery is evaluated by within-method ranks rather than raw score comparison.</w:t>
      </w:r>
    </w:p>
    <w:p>
      <w:pPr>
        <w:spacing w:after="60"/>
      </w:pPr>
      <w:r>
        <w:rPr>
          <w:rFonts w:ascii="Arial" w:hAnsi="Arial" w:eastAsia="Microsoft YaHei"/>
          <w:b w:val="0"/>
          <w:i w:val="0"/>
          <w:sz w:val="18"/>
        </w:rPr>
        <w:t xml:space="preserve">Figure: </w:t>
      </w:r>
      <w:r>
        <w:rPr>
          <w:rFonts w:ascii="Arial" w:hAnsi="Arial" w:eastAsia="Microsoft YaHei"/>
          <w:b/>
          <w:i w:val="0"/>
          <w:sz w:val="18"/>
        </w:rPr>
        <w:t>D:\GitHub\pyXenium\benchmarking\cci_2026_atera\results\cross_method_comparison_20260511\figures\fig6_canonical_pair_rank_heatmap.png</w:t>
      </w:r>
    </w:p>
    <w:p>
      <w:pPr>
        <w:spacing w:after="60"/>
      </w:pPr>
      <w:r>
        <w:rPr>
          <w:rFonts w:ascii="Arial" w:hAnsi="Arial" w:eastAsia="Microsoft YaHei"/>
          <w:b w:val="0"/>
          <w:i w:val="0"/>
          <w:sz w:val="18"/>
        </w:rPr>
        <w:t xml:space="preserve">Source data: </w:t>
      </w:r>
      <w:r>
        <w:rPr>
          <w:rFonts w:ascii="Arial" w:hAnsi="Arial" w:eastAsia="Microsoft YaHei"/>
          <w:b/>
          <w:i w:val="0"/>
          <w:sz w:val="18"/>
        </w:rPr>
        <w:t>D:\GitHub\pyXenium\benchmarking\cci_2026_atera\results\cross_method_comparison_20260511\source_data\fig6_canonical_pair_rank_heatmap.tsv</w:t>
      </w:r>
    </w:p>
    <w:p>
      <w:pPr>
        <w:pStyle w:val="Heading2"/>
      </w:pPr>
      <w:r>
        <w:t>A100 supplementary full and appendix runs</w:t>
      </w:r>
    </w:p>
    <w:p>
      <w:pPr>
        <w:spacing w:after="120" w:line="259" w:lineRule="auto"/>
      </w:pPr>
      <w:r>
        <w:rPr>
          <w:rFonts w:ascii="Arial" w:hAnsi="Arial" w:eastAsia="Microsoft YaHei"/>
          <w:b w:val="0"/>
          <w:i w:val="0"/>
          <w:sz w:val="18"/>
        </w:rPr>
        <w:t>A100 supplement 提供 Squidpy full、CellChat LR-only full 和 COMMOT chunked result。bounded appendix 记录 Giotto、SpaTalk、NICHES、CellNEST 和 CellAgentChat 的 scalability/resource tradeoff。</w:t>
      </w:r>
    </w:p>
    <w:p>
      <w:pPr>
        <w:pStyle w:val="Heading3"/>
      </w:pPr>
      <w:r>
        <w:t>Figure panel 5. Runtime and scalability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223760" cy="47203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runtime_hou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223760" cy="4720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59" w:lineRule="auto"/>
      </w:pPr>
      <w:r>
        <w:rPr>
          <w:rFonts w:ascii="Arial" w:hAnsi="Arial" w:eastAsia="Microsoft YaHei"/>
          <w:b w:val="0"/>
          <w:i w:val="0"/>
          <w:sz w:val="18"/>
        </w:rPr>
        <w:t>Engineering comparison across full and bounded runs.</w:t>
      </w:r>
    </w:p>
    <w:p>
      <w:pPr>
        <w:spacing w:after="60"/>
      </w:pPr>
      <w:r>
        <w:rPr>
          <w:rFonts w:ascii="Arial" w:hAnsi="Arial" w:eastAsia="Microsoft YaHei"/>
          <w:b w:val="0"/>
          <w:i w:val="0"/>
          <w:sz w:val="18"/>
        </w:rPr>
        <w:t xml:space="preserve">Figure: </w:t>
      </w:r>
      <w:r>
        <w:rPr>
          <w:rFonts w:ascii="Arial" w:hAnsi="Arial" w:eastAsia="Microsoft YaHei"/>
          <w:b/>
          <w:i w:val="0"/>
          <w:sz w:val="18"/>
        </w:rPr>
        <w:t>D:\GitHub\pyXenium\benchmarking\cci_2026_atera\results\cross_method_comparison_20260511\figures\fig1_runtime_hours.png</w:t>
      </w:r>
    </w:p>
    <w:p>
      <w:pPr>
        <w:spacing w:after="60"/>
      </w:pPr>
      <w:r>
        <w:rPr>
          <w:rFonts w:ascii="Arial" w:hAnsi="Arial" w:eastAsia="Microsoft YaHei"/>
          <w:b w:val="0"/>
          <w:i w:val="0"/>
          <w:sz w:val="18"/>
        </w:rPr>
        <w:t xml:space="preserve">Source data: </w:t>
      </w:r>
      <w:r>
        <w:rPr>
          <w:rFonts w:ascii="Arial" w:hAnsi="Arial" w:eastAsia="Microsoft YaHei"/>
          <w:b/>
          <w:i w:val="0"/>
          <w:sz w:val="18"/>
        </w:rPr>
        <w:t>D:\GitHub\pyXenium\benchmarking\cci_2026_atera\results\cross_method_comparison_20260511\source_data\fig1_runtime_hours.tsv</w:t>
      </w:r>
    </w:p>
    <w:p>
      <w:pPr>
        <w:pStyle w:val="Heading3"/>
      </w:pPr>
      <w:r>
        <w:t>Figure panel 6. Top-100 pair Jaccard consistency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223760" cy="647731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top100_pair_jaccard_heat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223760" cy="6477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59" w:lineRule="auto"/>
      </w:pPr>
      <w:r>
        <w:rPr>
          <w:rFonts w:ascii="Arial" w:hAnsi="Arial" w:eastAsia="Microsoft YaHei"/>
          <w:b w:val="0"/>
          <w:i w:val="0"/>
          <w:sz w:val="18"/>
        </w:rPr>
        <w:t>Cross-method consistency is summarized as overlap among top-ranked CCI axes.</w:t>
      </w:r>
    </w:p>
    <w:p>
      <w:pPr>
        <w:spacing w:after="60"/>
      </w:pPr>
      <w:r>
        <w:rPr>
          <w:rFonts w:ascii="Arial" w:hAnsi="Arial" w:eastAsia="Microsoft YaHei"/>
          <w:b w:val="0"/>
          <w:i w:val="0"/>
          <w:sz w:val="18"/>
        </w:rPr>
        <w:t xml:space="preserve">Figure: </w:t>
      </w:r>
      <w:r>
        <w:rPr>
          <w:rFonts w:ascii="Arial" w:hAnsi="Arial" w:eastAsia="Microsoft YaHei"/>
          <w:b/>
          <w:i w:val="0"/>
          <w:sz w:val="18"/>
        </w:rPr>
        <w:t>D:\GitHub\pyXenium\benchmarking\cci_2026_atera\results\cross_method_comparison_20260511\figures\fig3_top100_pair_jaccard_heatmap.png</w:t>
      </w:r>
    </w:p>
    <w:p>
      <w:pPr>
        <w:spacing w:after="60"/>
      </w:pPr>
      <w:r>
        <w:rPr>
          <w:rFonts w:ascii="Arial" w:hAnsi="Arial" w:eastAsia="Microsoft YaHei"/>
          <w:b w:val="0"/>
          <w:i w:val="0"/>
          <w:sz w:val="18"/>
        </w:rPr>
        <w:t xml:space="preserve">Source data: </w:t>
      </w:r>
      <w:r>
        <w:rPr>
          <w:rFonts w:ascii="Arial" w:hAnsi="Arial" w:eastAsia="Microsoft YaHei"/>
          <w:b/>
          <w:i w:val="0"/>
          <w:sz w:val="18"/>
        </w:rPr>
        <w:t>D:\GitHub\pyXenium\benchmarking\cci_2026_atera\results\cross_method_comparison_20260511\source_data\fig3_top100_pair_jaccard_heatmap.tsv</w:t>
      </w:r>
    </w:p>
    <w:p>
      <w:r>
        <w:br w:type="page"/>
      </w:r>
    </w:p>
    <w:p>
      <w:pPr>
        <w:pStyle w:val="Heading1"/>
      </w:pPr>
      <w:r>
        <w:t>Cross-dataset generalization</w:t>
      </w:r>
    </w:p>
    <w:p>
      <w:pPr>
        <w:spacing w:after="120" w:line="259" w:lineRule="auto"/>
      </w:pPr>
      <w:r>
        <w:rPr>
          <w:rFonts w:ascii="Arial" w:hAnsi="Arial" w:eastAsia="Microsoft YaHei"/>
          <w:b w:val="0"/>
          <w:i w:val="0"/>
          <w:sz w:val="18"/>
        </w:rPr>
        <w:t xml:space="preserve">Cervical WTA TopoLink-CCI full common-db run 生成 </w:t>
      </w:r>
      <w:r>
        <w:rPr>
          <w:rFonts w:ascii="Arial" w:hAnsi="Arial" w:eastAsia="Microsoft YaHei"/>
          <w:b/>
          <w:i w:val="0"/>
          <w:sz w:val="18"/>
        </w:rPr>
        <w:t>2,404,971 rows</w:t>
      </w:r>
      <w:r>
        <w:rPr>
          <w:rFonts w:ascii="Arial" w:hAnsi="Arial" w:eastAsia="Microsoft YaHei"/>
          <w:b w:val="0"/>
          <w:i w:val="0"/>
          <w:sz w:val="18"/>
        </w:rPr>
        <w:t xml:space="preserve">。其 top hit 为 </w:t>
      </w:r>
      <w:r>
        <w:rPr>
          <w:rFonts w:ascii="Arial" w:hAnsi="Arial" w:eastAsia="Microsoft YaHei"/>
          <w:b/>
          <w:i w:val="0"/>
          <w:sz w:val="18"/>
        </w:rPr>
        <w:t>DSC2-DSG3 / Differentiating Tumor Cells -&gt; Differentiating Tumor Cells</w:t>
      </w:r>
      <w:r>
        <w:rPr>
          <w:rFonts w:ascii="Arial" w:hAnsi="Arial" w:eastAsia="Microsoft YaHei"/>
          <w:b w:val="0"/>
          <w:i w:val="0"/>
          <w:sz w:val="18"/>
        </w:rPr>
        <w:t>，与 Breast WTA 中 vascular/endothelial top axes 不同，支持 tissue-context-specific CCI prioritization。</w:t>
      </w:r>
    </w:p>
    <w:p>
      <w:pPr>
        <w:spacing w:after="60"/>
      </w:pPr>
      <w:r>
        <w:rPr>
          <w:rFonts w:ascii="Arial" w:hAnsi="Arial" w:eastAsia="Microsoft YaHei"/>
          <w:b w:val="0"/>
          <w:i w:val="0"/>
          <w:sz w:val="18"/>
        </w:rPr>
        <w:t xml:space="preserve">Cervical artifact: </w:t>
      </w:r>
      <w:r>
        <w:rPr>
          <w:rFonts w:ascii="Arial" w:hAnsi="Arial" w:eastAsia="Microsoft YaHei"/>
          <w:b/>
          <w:i w:val="0"/>
          <w:sz w:val="18"/>
        </w:rPr>
        <w:t>/cfs/klemming/scratch/h/hutaobo/pyxenium_cci_benchmark_2026-04/datasets/atera_cervical_wta/runs/full_common/pyxenium/pyxenium_standardized.tsv</w:t>
      </w:r>
    </w:p>
    <w:p>
      <w:pPr>
        <w:pStyle w:val="Heading3"/>
      </w:pPr>
      <w:r>
        <w:t>Figure panel 7. Breast versus Cervical generalization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223760" cy="317828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breast_cervical_topolink_comparis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223760" cy="3178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59" w:lineRule="auto"/>
      </w:pPr>
      <w:r>
        <w:rPr>
          <w:rFonts w:ascii="Arial" w:hAnsi="Arial" w:eastAsia="Microsoft YaHei"/>
          <w:b w:val="0"/>
          <w:i w:val="0"/>
          <w:sz w:val="18"/>
        </w:rPr>
        <w:t>TopoLink-CCI recovers tissue-context-specific top axes across Breast and Cervical WTA datasets.</w:t>
      </w:r>
    </w:p>
    <w:p>
      <w:pPr>
        <w:spacing w:after="60"/>
      </w:pPr>
      <w:r>
        <w:rPr>
          <w:rFonts w:ascii="Arial" w:hAnsi="Arial" w:eastAsia="Microsoft YaHei"/>
          <w:b w:val="0"/>
          <w:i w:val="0"/>
          <w:sz w:val="18"/>
        </w:rPr>
        <w:t xml:space="preserve">Figure: </w:t>
      </w:r>
      <w:r>
        <w:rPr>
          <w:rFonts w:ascii="Arial" w:hAnsi="Arial" w:eastAsia="Microsoft YaHei"/>
          <w:b/>
          <w:i w:val="0"/>
          <w:sz w:val="18"/>
        </w:rPr>
        <w:t>D:\GitHub\pyXenium\benchmarking\cci_2026_atera\results\preview_completed_20260511\figures\fig4_breast_cervical_topolink_comparison.png</w:t>
      </w:r>
    </w:p>
    <w:p>
      <w:pPr>
        <w:spacing w:after="60"/>
      </w:pPr>
      <w:r>
        <w:rPr>
          <w:rFonts w:ascii="Arial" w:hAnsi="Arial" w:eastAsia="Microsoft YaHei"/>
          <w:b w:val="0"/>
          <w:i w:val="0"/>
          <w:sz w:val="18"/>
        </w:rPr>
        <w:t xml:space="preserve">Source data: </w:t>
      </w:r>
      <w:r>
        <w:rPr>
          <w:rFonts w:ascii="Arial" w:hAnsi="Arial" w:eastAsia="Microsoft YaHei"/>
          <w:b/>
          <w:i w:val="0"/>
          <w:sz w:val="18"/>
        </w:rPr>
        <w:t>D:\GitHub\pyXenium\benchmarking\cci_2026_atera\results\preview_completed_20260511\source_data\fig4_breast_cervical_topolink_comparison.tsv</w:t>
      </w:r>
    </w:p>
    <w:p>
      <w:pPr>
        <w:pStyle w:val="Heading3"/>
      </w:pPr>
      <w:r>
        <w:t>Figure panel 8. Cervical WTA TopoLink-CCI top axes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223760" cy="43888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cervical_topolink_top_ax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223760" cy="4388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59" w:lineRule="auto"/>
      </w:pPr>
      <w:r>
        <w:rPr>
          <w:rFonts w:ascii="Arial" w:hAnsi="Arial" w:eastAsia="Microsoft YaHei"/>
          <w:b w:val="0"/>
          <w:i w:val="0"/>
          <w:sz w:val="18"/>
        </w:rPr>
        <w:t>Cervical WTA full common-db result contains 2,404,971 rows and is led by DSC2-DSG3.</w:t>
      </w:r>
    </w:p>
    <w:p>
      <w:pPr>
        <w:spacing w:after="60"/>
      </w:pPr>
      <w:r>
        <w:rPr>
          <w:rFonts w:ascii="Arial" w:hAnsi="Arial" w:eastAsia="Microsoft YaHei"/>
          <w:b w:val="0"/>
          <w:i w:val="0"/>
          <w:sz w:val="18"/>
        </w:rPr>
        <w:t xml:space="preserve">Figure: </w:t>
      </w:r>
      <w:r>
        <w:rPr>
          <w:rFonts w:ascii="Arial" w:hAnsi="Arial" w:eastAsia="Microsoft YaHei"/>
          <w:b/>
          <w:i w:val="0"/>
          <w:sz w:val="18"/>
        </w:rPr>
        <w:t>D:\GitHub\pyXenium\benchmarking\cci_2026_atera\results\preview_completed_20260511\figures\fig3b_cervical_topolink_top_axes.png</w:t>
      </w:r>
    </w:p>
    <w:p>
      <w:pPr>
        <w:spacing w:after="60"/>
      </w:pPr>
      <w:r>
        <w:rPr>
          <w:rFonts w:ascii="Arial" w:hAnsi="Arial" w:eastAsia="Microsoft YaHei"/>
          <w:b w:val="0"/>
          <w:i w:val="0"/>
          <w:sz w:val="18"/>
        </w:rPr>
        <w:t xml:space="preserve">Source data: </w:t>
      </w:r>
      <w:r>
        <w:rPr>
          <w:rFonts w:ascii="Arial" w:hAnsi="Arial" w:eastAsia="Microsoft YaHei"/>
          <w:b/>
          <w:i w:val="0"/>
          <w:sz w:val="18"/>
        </w:rPr>
        <w:t>D:\GitHub\pyXenium\benchmarking\cci_2026_atera\results\preview_completed_20260511\source_data\fig3b_cervical_topolink_top_axes.tsv</w:t>
      </w:r>
    </w:p>
    <w:p>
      <w:r>
        <w:br w:type="page"/>
      </w:r>
    </w:p>
    <w:p>
      <w:pPr>
        <w:pStyle w:val="Heading1"/>
      </w:pPr>
      <w:r>
        <w:t>Scope of Benchmark and Technical Limitations</w:t>
      </w:r>
    </w:p>
    <w:p>
      <w:pPr>
        <w:spacing w:after="120" w:line="259" w:lineRule="auto"/>
      </w:pPr>
      <w:r>
        <w:rPr>
          <w:rFonts w:ascii="Arial" w:hAnsi="Arial" w:eastAsia="Microsoft YaHei"/>
          <w:b w:val="0"/>
          <w:i w:val="0"/>
          <w:sz w:val="18"/>
        </w:rPr>
        <w:t xml:space="preserve">本 benchmark 不把所有外部 CCI 方法强行推进到 whole-dataset full run，而是为每个方法保留 full result、bounded subset result 或 reproducible failure card。SpaTalk smoke20k 完成 </w:t>
      </w:r>
      <w:r>
        <w:rPr>
          <w:rFonts w:ascii="Arial" w:hAnsi="Arial" w:eastAsia="Microsoft YaHei"/>
          <w:b/>
          <w:i w:val="0"/>
          <w:sz w:val="18"/>
        </w:rPr>
        <w:t>66/66 chunks</w:t>
      </w:r>
      <w:r>
        <w:rPr>
          <w:rFonts w:ascii="Arial" w:hAnsi="Arial" w:eastAsia="Microsoft YaHei"/>
          <w:b w:val="0"/>
          <w:i w:val="0"/>
          <w:sz w:val="18"/>
        </w:rPr>
        <w:t>；NICHES pilot50k 完成 1,181,042 rows；Giotto pilot50k 完成 1,151,351 rows。这些结果说明真实方法链路可运行，同时也暴露了大规模 WTA 下的内存、sparse index 和 runtime scalability tradeoff。</w:t>
      </w:r>
    </w:p>
    <w:p>
      <w:pPr>
        <w:spacing w:after="120" w:line="259" w:lineRule="auto"/>
      </w:pPr>
      <w:r>
        <w:rPr>
          <w:rFonts w:ascii="Arial" w:hAnsi="Arial" w:eastAsia="Microsoft YaHei"/>
          <w:b w:val="0"/>
          <w:i w:val="0"/>
          <w:sz w:val="18"/>
        </w:rPr>
        <w:t>SCILD 已在官方 source 被重新确认后通过 A100 专用 Python 3.11 环境升级为 bounded subset result：3000 cells × 20 CCI pairs，2,880 rows，峰值内存约 18.9GB。Copulacci 已通过官方 source-backed copulacci.model2.run_scc workflow 升级为 bounded subset result：20k cells × top 200 CCI pairs × top 80 celltype groups，13,981 rows；50k 扩容因 dense spatial adjacency memory risk 停止，因此不进入 full comparison。NicheNet 通过 clean A100 R retry、官方 saeyslab/nichenetr 包和 Zenodo v2 ligand-target prior 完成 20k downstream receiver-response support，产生 215,542 rows；该结果作为 downstream support appendix，不作为直接 spatial CCI ranker。FastCCC 已通过 A100 retry 产生 20k bounded standardized output。</w:t>
      </w:r>
    </w:p>
    <w:p>
      <w:pPr>
        <w:pStyle w:val="Heading3"/>
      </w:pPr>
      <w:r>
        <w:t>Figure panel 9. Result row counts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223760" cy="44459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esult_row_count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223760" cy="4445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59" w:lineRule="auto"/>
      </w:pPr>
      <w:r>
        <w:rPr>
          <w:rFonts w:ascii="Arial" w:hAnsi="Arial" w:eastAsia="Microsoft YaHei"/>
          <w:b w:val="0"/>
          <w:i w:val="0"/>
          <w:sz w:val="18"/>
        </w:rPr>
        <w:t>Full and bounded outputs differ in scale and should not be collapsed into a single evidence tier.</w:t>
      </w:r>
    </w:p>
    <w:p>
      <w:pPr>
        <w:spacing w:after="60"/>
      </w:pPr>
      <w:r>
        <w:rPr>
          <w:rFonts w:ascii="Arial" w:hAnsi="Arial" w:eastAsia="Microsoft YaHei"/>
          <w:b w:val="0"/>
          <w:i w:val="0"/>
          <w:sz w:val="18"/>
        </w:rPr>
        <w:t xml:space="preserve">Figure: </w:t>
      </w:r>
      <w:r>
        <w:rPr>
          <w:rFonts w:ascii="Arial" w:hAnsi="Arial" w:eastAsia="Microsoft YaHei"/>
          <w:b/>
          <w:i w:val="0"/>
          <w:sz w:val="18"/>
        </w:rPr>
        <w:t>D:\GitHub\pyXenium\benchmarking\cci_2026_atera\results\preview_completed_20260511\figures\fig2_result_row_counts.png</w:t>
      </w:r>
    </w:p>
    <w:p>
      <w:pPr>
        <w:spacing w:after="60"/>
      </w:pPr>
      <w:r>
        <w:rPr>
          <w:rFonts w:ascii="Arial" w:hAnsi="Arial" w:eastAsia="Microsoft YaHei"/>
          <w:b w:val="0"/>
          <w:i w:val="0"/>
          <w:sz w:val="18"/>
        </w:rPr>
        <w:t xml:space="preserve">Source data: </w:t>
      </w:r>
      <w:r>
        <w:rPr>
          <w:rFonts w:ascii="Arial" w:hAnsi="Arial" w:eastAsia="Microsoft YaHei"/>
          <w:b/>
          <w:i w:val="0"/>
          <w:sz w:val="18"/>
        </w:rPr>
        <w:t>D:\GitHub\pyXenium\benchmarking\cci_2026_atera\results\preview_completed_20260511\source_data\fig2_result_row_counts.tsv</w:t>
      </w:r>
    </w:p>
    <w:p>
      <w:pPr>
        <w:pStyle w:val="Heading3"/>
      </w:pPr>
      <w:r>
        <w:t>Figure panel 10. Overlap with TopoLink-CCI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223760" cy="469332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overlap_with_topolink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223760" cy="46933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59" w:lineRule="auto"/>
      </w:pPr>
      <w:r>
        <w:rPr>
          <w:rFonts w:ascii="Arial" w:hAnsi="Arial" w:eastAsia="Microsoft YaHei"/>
          <w:b w:val="0"/>
          <w:i w:val="0"/>
          <w:sz w:val="18"/>
        </w:rPr>
        <w:t>Overlap with TopoLink-CCI is interpreted as theme-level support, not absolute ground truth.</w:t>
      </w:r>
    </w:p>
    <w:p>
      <w:pPr>
        <w:spacing w:after="60"/>
      </w:pPr>
      <w:r>
        <w:rPr>
          <w:rFonts w:ascii="Arial" w:hAnsi="Arial" w:eastAsia="Microsoft YaHei"/>
          <w:b w:val="0"/>
          <w:i w:val="0"/>
          <w:sz w:val="18"/>
        </w:rPr>
        <w:t xml:space="preserve">Figure: </w:t>
      </w:r>
      <w:r>
        <w:rPr>
          <w:rFonts w:ascii="Arial" w:hAnsi="Arial" w:eastAsia="Microsoft YaHei"/>
          <w:b/>
          <w:i w:val="0"/>
          <w:sz w:val="18"/>
        </w:rPr>
        <w:t>D:\GitHub\pyXenium\benchmarking\cci_2026_atera\results\cross_method_comparison_20260511\figures\fig5_overlap_with_topolink.png</w:t>
      </w:r>
    </w:p>
    <w:p>
      <w:pPr>
        <w:spacing w:after="60"/>
      </w:pPr>
      <w:r>
        <w:rPr>
          <w:rFonts w:ascii="Arial" w:hAnsi="Arial" w:eastAsia="Microsoft YaHei"/>
          <w:b w:val="0"/>
          <w:i w:val="0"/>
          <w:sz w:val="18"/>
        </w:rPr>
        <w:t xml:space="preserve">Source data: </w:t>
      </w:r>
      <w:r>
        <w:rPr>
          <w:rFonts w:ascii="Arial" w:hAnsi="Arial" w:eastAsia="Microsoft YaHei"/>
          <w:b/>
          <w:i w:val="0"/>
          <w:sz w:val="18"/>
        </w:rPr>
        <w:t>D:\GitHub\pyXenium\benchmarking\cci_2026_atera\results\cross_method_comparison_20260511\source_data\fig5_overlap_with_topolink.tsv</w:t>
      </w:r>
    </w:p>
    <w:p>
      <w:r>
        <w:br w:type="page"/>
      </w:r>
    </w:p>
    <w:p>
      <w:pPr>
        <w:pStyle w:val="Heading1"/>
      </w:pPr>
      <w:r>
        <w:t>Methodological Discussion</w:t>
      </w:r>
    </w:p>
    <w:p>
      <w:pPr>
        <w:spacing w:after="120" w:line="259" w:lineRule="auto"/>
      </w:pPr>
      <w:r>
        <w:rPr>
          <w:rFonts w:ascii="Arial" w:hAnsi="Arial" w:eastAsia="Microsoft YaHei"/>
          <w:b w:val="0"/>
          <w:i w:val="0"/>
          <w:sz w:val="18"/>
        </w:rPr>
        <w:t>本 benchmark 不直接比较不同方法的 raw score，因为各方法的 score 定义不一致。评价体系采用 rank、canonical recovery、cross-method consistency、false-positive controls、Synthetic Truth 和 cross-dataset generalization。</w:t>
      </w:r>
    </w:p>
    <w:p>
      <w:pPr>
        <w:spacing w:after="120" w:line="259" w:lineRule="auto"/>
      </w:pPr>
      <w:r>
        <w:rPr>
          <w:rFonts w:ascii="Arial" w:hAnsi="Arial" w:eastAsia="Microsoft YaHei"/>
          <w:b w:val="0"/>
          <w:i w:val="0"/>
          <w:sz w:val="18"/>
        </w:rPr>
        <w:t>F1 只用于 Synthetic Truth 或预定义 canonical truth set；ARI 不作为主指标，因为当前输出是 interaction-axis ranking，而不是统一 clustering assignment。</w:t>
      </w:r>
    </w:p>
    <w:p>
      <w:pPr>
        <w:spacing w:after="120" w:line="259" w:lineRule="auto"/>
      </w:pPr>
      <w:r>
        <w:rPr>
          <w:rFonts w:ascii="Arial" w:hAnsi="Arial" w:eastAsia="Microsoft YaHei"/>
          <w:b/>
          <w:i w:val="0"/>
          <w:sz w:val="18"/>
        </w:rPr>
        <w:t>本研究建立的评估框架旨在为真实复杂组织切片中的 CCI 优先级排序提供可靠依据，而非单纯追求合成数据集上的指标拟合。</w:t>
      </w:r>
    </w:p>
    <w:p>
      <w:pPr>
        <w:spacing w:after="120" w:line="259" w:lineRule="auto"/>
      </w:pPr>
      <w:r>
        <w:rPr>
          <w:rFonts w:ascii="Arial" w:hAnsi="Arial" w:eastAsia="Microsoft YaHei"/>
          <w:b w:val="0"/>
          <w:i w:val="0"/>
          <w:sz w:val="18"/>
        </w:rPr>
        <w:t>TopoLink-CCI 应被表述为 topology-guided spatial CCI hypothesis prioritization framework。所有结论均为 computational evidence，不应被解读为单靠 CCI_score 证明蛋白结合、因果通讯或功能效应。</w:t>
      </w:r>
    </w:p>
    <w:p>
      <w:pPr>
        <w:pStyle w:val="Heading3"/>
      </w:pPr>
      <w:r>
        <w:t>Figure panel 11. Canonical recovery F1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223760" cy="453216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canonical_recovery_f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223760" cy="4532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59" w:lineRule="auto"/>
      </w:pPr>
      <w:r>
        <w:rPr>
          <w:rFonts w:ascii="Arial" w:hAnsi="Arial" w:eastAsia="Microsoft YaHei"/>
          <w:b w:val="0"/>
          <w:i w:val="0"/>
          <w:sz w:val="18"/>
        </w:rPr>
        <w:t>F1 is used only for predefined canonical truth sets, not global real-tissue CCI ranking.</w:t>
      </w:r>
    </w:p>
    <w:p>
      <w:pPr>
        <w:spacing w:after="60"/>
      </w:pPr>
      <w:r>
        <w:rPr>
          <w:rFonts w:ascii="Arial" w:hAnsi="Arial" w:eastAsia="Microsoft YaHei"/>
          <w:b w:val="0"/>
          <w:i w:val="0"/>
          <w:sz w:val="18"/>
        </w:rPr>
        <w:t xml:space="preserve">Figure: </w:t>
      </w:r>
      <w:r>
        <w:rPr>
          <w:rFonts w:ascii="Arial" w:hAnsi="Arial" w:eastAsia="Microsoft YaHei"/>
          <w:b/>
          <w:i w:val="0"/>
          <w:sz w:val="18"/>
        </w:rPr>
        <w:t>D:\GitHub\pyXenium\benchmarking\cci_2026_atera\results\cross_method_comparison_20260511\figures\fig2_canonical_recovery_f1.png</w:t>
      </w:r>
    </w:p>
    <w:p>
      <w:pPr>
        <w:spacing w:after="60"/>
      </w:pPr>
      <w:r>
        <w:rPr>
          <w:rFonts w:ascii="Arial" w:hAnsi="Arial" w:eastAsia="Microsoft YaHei"/>
          <w:b w:val="0"/>
          <w:i w:val="0"/>
          <w:sz w:val="18"/>
        </w:rPr>
        <w:t xml:space="preserve">Source data: </w:t>
      </w:r>
      <w:r>
        <w:rPr>
          <w:rFonts w:ascii="Arial" w:hAnsi="Arial" w:eastAsia="Microsoft YaHei"/>
          <w:b/>
          <w:i w:val="0"/>
          <w:sz w:val="18"/>
        </w:rPr>
        <w:t>D:\GitHub\pyXenium\benchmarking\cci_2026_atera\results\cross_method_comparison_20260511\source_data\fig2_canonical_recovery_f1.tsv</w:t>
      </w:r>
    </w:p>
    <w:p>
      <w:pPr>
        <w:pStyle w:val="Heading3"/>
      </w:pPr>
      <w:r>
        <w:t>Figure panel 12. Exploratory ARI of top-k binary selections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223760" cy="647731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op100_binary_selection_ari_heatma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223760" cy="6477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59" w:lineRule="auto"/>
      </w:pPr>
      <w:r>
        <w:rPr>
          <w:rFonts w:ascii="Arial" w:hAnsi="Arial" w:eastAsia="Microsoft YaHei"/>
          <w:b w:val="0"/>
          <w:i w:val="0"/>
          <w:sz w:val="18"/>
        </w:rPr>
        <w:t>ARI is shown as an exploratory top-k selection similarity metric, not a main endpoint.</w:t>
      </w:r>
    </w:p>
    <w:p>
      <w:pPr>
        <w:spacing w:after="60"/>
      </w:pPr>
      <w:r>
        <w:rPr>
          <w:rFonts w:ascii="Arial" w:hAnsi="Arial" w:eastAsia="Microsoft YaHei"/>
          <w:b w:val="0"/>
          <w:i w:val="0"/>
          <w:sz w:val="18"/>
        </w:rPr>
        <w:t xml:space="preserve">Figure: </w:t>
      </w:r>
      <w:r>
        <w:rPr>
          <w:rFonts w:ascii="Arial" w:hAnsi="Arial" w:eastAsia="Microsoft YaHei"/>
          <w:b/>
          <w:i w:val="0"/>
          <w:sz w:val="18"/>
        </w:rPr>
        <w:t>D:\GitHub\pyXenium\benchmarking\cci_2026_atera\results\cross_method_comparison_20260511\figures\fig4_top100_binary_selection_ari_heatmap.png</w:t>
      </w:r>
    </w:p>
    <w:p>
      <w:pPr>
        <w:spacing w:after="60"/>
      </w:pPr>
      <w:r>
        <w:rPr>
          <w:rFonts w:ascii="Arial" w:hAnsi="Arial" w:eastAsia="Microsoft YaHei"/>
          <w:b w:val="0"/>
          <w:i w:val="0"/>
          <w:sz w:val="18"/>
        </w:rPr>
        <w:t xml:space="preserve">Source data: </w:t>
      </w:r>
      <w:r>
        <w:rPr>
          <w:rFonts w:ascii="Arial" w:hAnsi="Arial" w:eastAsia="Microsoft YaHei"/>
          <w:b/>
          <w:i w:val="0"/>
          <w:sz w:val="18"/>
        </w:rPr>
        <w:t>D:\GitHub\pyXenium\benchmarking\cci_2026_atera\results\cross_method_comparison_20260511\source_data\fig4_top100_binary_selection_ari_heatmap.tsv</w:t>
      </w:r>
    </w:p>
    <w:sectPr w:rsidR="00FC693F" w:rsidRPr="0006063C" w:rsidSect="00034616">
      <w:pgSz w:w="16838" w:h="11906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b w:val="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