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67a1e8fd8e4457709080be265c2b0e471bacf7"/>
    <w:p>
      <w:pPr>
        <w:pStyle w:val="Heading1"/>
      </w:pPr>
      <w:r>
        <w:t xml:space="preserve">Foundation-model morphology maps residual programs in spatial-omics contours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New whole-transcriptome in situ platforms measure &gt;18,000 genes in FFPE tissue, creating a need to test whether co-registered H&amp;E captures residual molecular programs. We introduce morphomolecular translation mapping (mTM), which tests whether H&amp;E foundation-model embeddings map residual WTA programs after contour labels and spatial covariates are fixed. In breast and cervical Atera WTA data, mTM nominates endocrine, stress, stromal, immune and boundary-associated programs exceeding spatial nulls.</w:t>
      </w:r>
    </w:p>
    <w:p>
      <w:pPr>
        <w:pStyle w:val="BodyText"/>
      </w:pPr>
      <w:r>
        <w:t xml:space="preserve">Spatial biology is moving from sparse assays to high-resolution transcriptome maps that preserve tissue context</w:t>
      </w:r>
      <w:r>
        <w:rPr>
          <w:vertAlign w:val="superscript"/>
        </w:rPr>
        <w:t xml:space="preserve">1-5</w:t>
      </w:r>
      <w:r>
        <w:t xml:space="preserve">. Atera whole-transcriptome in situ profiling recently extended this direction to FFPE tissue-scale measurements of more than 18,000 genes, including public breast and cervical cancer preview data with 18,028 profiled genes</w:t>
      </w:r>
      <w:r>
        <w:rPr>
          <w:vertAlign w:val="superscript"/>
        </w:rPr>
        <w:t xml:space="preserve">20</w:t>
      </w:r>
      <w:r>
        <w:t xml:space="preserve">. This creates a new integration problem: transcriptome-scale spatial assays now define rich molecular contours, but the residual molecular variation within those contours may still be visible to co-registered H&amp;E morphology. These data are not simply a larger targeted panel; they make it possible to ask, in one registered FFPE tissue system, whether endocrine, stress, stromal, immune and boundary-associated WTA programs retain morphologic structure after the assay itself has defined molecular-spatial regions. In parallel, H&amp;E foundation models and histology-spatial-omics systems</w:t>
      </w:r>
      <w:r>
        <w:rPr>
          <w:vertAlign w:val="superscript"/>
        </w:rPr>
        <w:t xml:space="preserve">6-16</w:t>
      </w:r>
      <w:r>
        <w:t xml:space="preserve"> </w:t>
      </w:r>
      <w:r>
        <w:t xml:space="preserve">now support visual-language pathology, whole-slide representation learning and expression-morphology integration. Most work asks whether H&amp;E can reconstruct expression, spatial domains or downstream labels. We asked a narrower question: after spatial omics has already defined molecular-spatial tissue contours, do H&amp;E embeddings still map the WTA variation left unresolved by those contours? This shifts the benchmark to residual biological decoding and reduces the risk that an H&amp;E-WTA association merely reflects region identity, slide geography or boundary structure.</w:t>
      </w:r>
    </w:p>
    <w:p>
      <w:pPr>
        <w:pStyle w:val="BodyText"/>
      </w:pPr>
      <w:r>
        <w:t xml:space="preserve">We developed morphomolecular translation mapping (mTM), a contour-constrained residual decoding framework (Fig. 1) adapted to these newly available WTA-scale spatial datasets. Spatial-omics-derived contours were generated from Atera WTA cell-coordinate and cluster information, not from H&amp;E image segmentation. The same polygons served as shared geometry</w:t>
      </w:r>
      <w:r>
        <w:rPr>
          <w:vertAlign w:val="superscript"/>
        </w:rPr>
        <w:t xml:space="preserve">18,19</w:t>
      </w:r>
      <w:r>
        <w:t xml:space="preserve"> </w:t>
      </w:r>
      <w:r>
        <w:t xml:space="preserve">for direct-WSI LazySlide PLIP or UNI H&amp;E embeddings</w:t>
      </w:r>
      <w:r>
        <w:rPr>
          <w:vertAlign w:val="superscript"/>
        </w:rPr>
        <w:t xml:space="preserve">12,14,17</w:t>
      </w:r>
      <w:r>
        <w:t xml:space="preserve">, WTA program summaries and residual tests. The contours are therefore not independent histological labels. The conservative estimand is whether H&amp;E embeddings map continuous WTA variation within a spatial-omics label after centroid position and boundary-distance covariates are controlled. This design avoids a weaker interpretation in which morphology appears successful because it only detects tumor, stroma, necrosis or slide geography already encoded by WTA clustering. By residualizing within the molecular-spatial label and preserving local spatial bins during permutations, the analysis targets continuous program differences among contours placed in the same broad molecular state. The output is a ranked set of contour-level program-feature pairs, effect sizes and spatial-null checks, rather than a diagnostic classifier. This contour scale is larger than a tile, retains local context and keeps permutation/bootstrap units aligned with biologically meaningful regions.</w:t>
      </w:r>
    </w:p>
    <w:p>
      <w:pPr>
        <w:pStyle w:val="BodyText"/>
      </w:pPr>
      <w:r>
        <w:t xml:space="preserve">In breast WTA, the strongest evidence came from S3 contours, which define a molecular-spatial class but are not molecularly homogeneous. mTM places each S3 contour along residual continua of endocrine, stress and metabolic state. Within S3, PLIP-derived morphology was associated with residual luminal estrogen-response variation (partial Spearman’s rho -0.639, P = 4.79 × 10</w:t>
      </w:r>
      <w:r>
        <w:rPr>
          <w:vertAlign w:val="superscript"/>
        </w:rPr>
        <w:t xml:space="preserve">-19</w:t>
      </w:r>
      <w:r>
        <w:t xml:space="preserve">, n = 157), unfolded-protein-response variation (partial Spearman’s rho 0.515, P = 7.91 × 10</w:t>
      </w:r>
      <w:r>
        <w:rPr>
          <w:vertAlign w:val="superscript"/>
        </w:rPr>
        <w:t xml:space="preserve">-12</w:t>
      </w:r>
      <w:r>
        <w:t xml:space="preserve">) and oxidative-phosphorylation variation (partial Spearman’s rho 0.531, P = 1.38 × 10</w:t>
      </w:r>
      <w:r>
        <w:rPr>
          <w:vertAlign w:val="superscript"/>
        </w:rPr>
        <w:t xml:space="preserve">-12</w:t>
      </w:r>
      <w:r>
        <w:t xml:space="preserve">). These are contour-level residual associations, not per-cell or per-tile measurements. Because image-axis direction is arbitrary, the result means contours sharing the same spatial-omics label retained continuous endocrine, stress and metabolic WTA variation mapped by H&amp;E features. The luminal estrogen-response result is the clearest discovery example because it occurs after restricting to one discrete contour label and after spatial covariate adjustment; it was not driven by very small contours, because requiring n_tiles &gt;= 3 and n_cells &gt;= 50 gave a recomputed partial Spearman’s rho of -0.656 (n = 49). Hero patches in Fig. 1b are therefore QC-filtered representative examples selected after statistical ranking, with expanded examples and metadata in Supplementary Fig. 2 and Supplementary Table 4, not a blinded visual diagnostic claim.</w:t>
      </w:r>
    </w:p>
    <w:p>
      <w:pPr>
        <w:pStyle w:val="BodyText"/>
      </w:pPr>
      <w:r>
        <w:t xml:space="preserve">We next tested whether these associations were simply consequences of spatial autocorrelation. Molecular residuals were permuted within strata preserving spatial-omics-derived contour label, centroid-position bins and boundary-distance bins. The breast luminal estrogen-response, unfolded-protein-response and oxidative-phosphorylation associations remained stronger than the compartment-aware null distributions, each with empirical P = 9.999 × 10</w:t>
      </w:r>
      <w:r>
        <w:rPr>
          <w:vertAlign w:val="superscript"/>
        </w:rPr>
        <w:t xml:space="preserve">-5</w:t>
      </w:r>
      <w:r>
        <w:t xml:space="preserve"> </w:t>
      </w:r>
      <w:r>
        <w:t xml:space="preserve">(Supplementary Fig. 1 and Supplementary Table 1); block-bootstrap intervals are reported in Supplementary Table 2. Across breast and cervical analyses, 13 candidate associations passed the 95% spatial-null gate, and the strongest candidates also exceeded the 99% null threshold. Additional sensitivity checks retained candidate signs under leave-one-block, local-mismatch, centroid-jitter and 23 small tile-registration perturbation tests; nested spatial holdout recovered the primary breast PLIP signs in 75.0-93.8% of folds, with spatial-sensitivity, component-gene, registration-perturbation, nested-holdout and contour-size summaries in Supplementary Tables 5-9. A cervical Atera WTA dataset served as a cross-cancer stress test rather than a direct replication of the breast luminal phenotype. It was used to ask whether the same residual-decoding procedure could nominate plausible program families in a different epithelial cancer, not whether breast-specific luminal biology would recur. In that second epithelial cancer context, residual decoding recovered stromal-remodeling, immune-ecology and invasion-associated programs in 215 paired H&amp;E-WTA contours, including myofibroblast CAF activation, collagen/ECM organization and stromal encapsulation; TLS-adjacent activation, immune exclusion and immune activation; and EMT/invasive-front and EMT-invasion programs. Epithelial-identity and oxidative-phosphorylation candidates provided additional epithelial and stress/metabolic support. PLIP and UNI agreement was evaluated only at the program-family level, because embedding axes can rotate or change sign between models, with program-family summaries in Supplementary Table 3. Thus, the cervical result is consistent with applying the residual-decoding workflow to a different epithelial cancer setting, while cohort-level generality remains a future test.</w:t>
      </w:r>
    </w:p>
    <w:p>
      <w:pPr>
        <w:pStyle w:val="BodyText"/>
      </w:pPr>
      <w:r>
        <w:t xml:space="preserve">Finally, ring-level boundary profiles nominated candidate molecularly active zones, defined here as interfaces where H&amp;E and WTA gradients co-varied at selected tissue boundaries (Supplementary Fig. 3). The current data support boundary co-variation, not causality, temporal ordering or a directional mechanism. Atera WTA provides an unusually broad 18,028-gene in situ discovery layer</w:t>
      </w:r>
      <w:r>
        <w:rPr>
          <w:vertAlign w:val="superscript"/>
        </w:rPr>
        <w:t xml:space="preserve">20</w:t>
      </w:r>
      <w:r>
        <w:t xml:space="preserve">, but transcript evidence does not replace protein validation. For this reason, the analysis treats Atera WTA as the measurement layer defining the biological coordinate system, and H&amp;E as an independent modality asked only to explain residual structure. mTM therefore nominates morphology-associated molecular states and boundary ecologies for validation in larger cohorts and by IHC or orthogonal molecular assays where clinically relevant. Its immediate contribution is a residual test showing that foundation-model morphology can add information within spatial-omics-defined contours rather than merely reproduce those contours. More broadly, mTM reframes H&amp;E-spatial-omics integration as a controlled interrogation of what remains after molecular-spatial labels are fixed, a question made newly practical by transcriptome-scale spatial platforms.</w:t>
      </w:r>
    </w:p>
    <w:bookmarkEnd w:id="9"/>
    <w:bookmarkStart w:id="10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Figure source-data CSVs for Fig. 1 and Supplementary Figs. 1-3 are included with the submission package. Separate machine-readable Supplementary Data CSVs are provided for robustness tables, including contour-size sensitivity, that are too detailed to rely only on PDF rendering. Raw 10x Genomics Atera WTA and H&amp;E input files are not redistributed with this submission package; the breast and cervical source datasets are available from 10x Genomics at https://www.10xgenomics.com/datasets/atera-wta-ffpe-human-breast-cancer and https://www.10xgenomics.com/datasets/atera-wta-ffpe-human-cervical-cancer.</w:t>
      </w:r>
    </w:p>
    <w:bookmarkEnd w:id="10"/>
    <w:bookmarkStart w:id="11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The mTM analysis, direct WSI embedding, contour aggregation, statistical defense, figure composition and submission-package preparation code is available in the pyXenium repository at https://github.com/hutaobo/pyXenium. The fixed software release used for this submission is pyXenium v0.4.6 at https://github.com/hutaobo/pyXenium/releases/tag/v0.4.6, and the submission-packaging hardening commit is 3c4617010bb1c76e18921958c4507f91512aa9dc at https://github.com/hutaobo/pyXenium/commit/3c4617010bb1c76e18921958c4507f91512aa9dc. Manuscript-level replication scripts are provided under</w:t>
      </w:r>
      <w:r>
        <w:t xml:space="preserve"> </w:t>
      </w:r>
      <w:r>
        <w:rPr>
          <w:rStyle w:val="VerbatimChar"/>
        </w:rPr>
        <w:t xml:space="preserve">manuscript/mtm_wta_nbt_replication/</w:t>
      </w:r>
      <w:r>
        <w:t xml:space="preserve">. The exact journal-upload package and individual submission files are archived at https://github.com/hutaobo/pyXenium/releases/tag/nbt-submission-upload-20260518-draft. HistoSeg contour-generation software is maintained at https://github.com/hutaobo/HistoSeg.</w:t>
      </w:r>
    </w:p>
    <w:bookmarkEnd w:id="11"/>
    <w:bookmarkStart w:id="1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Ståhl, P.L. et al. Science 353, 78-82 (2016).</w:t>
      </w:r>
    </w:p>
    <w:p>
      <w:pPr>
        <w:pStyle w:val="Compact"/>
        <w:numPr>
          <w:ilvl w:val="0"/>
          <w:numId w:val="1001"/>
        </w:numPr>
      </w:pPr>
      <w:r>
        <w:t xml:space="preserve">Chen, K.H., Boettiger, A.N., Moffitt, J.R., Wang, S. &amp; Zhuang, X. Science 348, aaa6090 (2015).</w:t>
      </w:r>
    </w:p>
    <w:p>
      <w:pPr>
        <w:pStyle w:val="Compact"/>
        <w:numPr>
          <w:ilvl w:val="0"/>
          <w:numId w:val="1001"/>
        </w:numPr>
      </w:pPr>
      <w:r>
        <w:t xml:space="preserve">Rodriques, S.G. et al. Science 363, 1463-1467 (2019).</w:t>
      </w:r>
    </w:p>
    <w:p>
      <w:pPr>
        <w:pStyle w:val="Compact"/>
        <w:numPr>
          <w:ilvl w:val="0"/>
          <w:numId w:val="1001"/>
        </w:numPr>
      </w:pPr>
      <w:r>
        <w:t xml:space="preserve">Eng, C.H.L. et al. Nature 568, 235-239 (2019).</w:t>
      </w:r>
    </w:p>
    <w:p>
      <w:pPr>
        <w:pStyle w:val="Compact"/>
        <w:numPr>
          <w:ilvl w:val="0"/>
          <w:numId w:val="1001"/>
        </w:numPr>
      </w:pPr>
      <w:r>
        <w:t xml:space="preserve">Rao, A., Barkley, D., França, G.S. &amp; Yanai, I. Nature 596, 211-220 (2021).</w:t>
      </w:r>
    </w:p>
    <w:p>
      <w:pPr>
        <w:pStyle w:val="Compact"/>
        <w:numPr>
          <w:ilvl w:val="0"/>
          <w:numId w:val="1001"/>
        </w:numPr>
      </w:pPr>
      <w:r>
        <w:t xml:space="preserve">He, B. et al. Nat. Biomed. Eng. 4, 827-834 (2020).</w:t>
      </w:r>
    </w:p>
    <w:p>
      <w:pPr>
        <w:pStyle w:val="Compact"/>
        <w:numPr>
          <w:ilvl w:val="0"/>
          <w:numId w:val="1001"/>
        </w:numPr>
      </w:pPr>
      <w:r>
        <w:t xml:space="preserve">Zhang, D. et al. Nat. Biotechnol. 42, 1372-1377 (2024).</w:t>
      </w:r>
    </w:p>
    <w:p>
      <w:pPr>
        <w:pStyle w:val="Compact"/>
        <w:numPr>
          <w:ilvl w:val="0"/>
          <w:numId w:val="1001"/>
        </w:numPr>
      </w:pPr>
      <w:r>
        <w:t xml:space="preserve">Jaume, G. et al. Adv. Neural Inf. Process. Syst. 37, 53798-53833 (2024).</w:t>
      </w:r>
    </w:p>
    <w:p>
      <w:pPr>
        <w:pStyle w:val="Compact"/>
        <w:numPr>
          <w:ilvl w:val="0"/>
          <w:numId w:val="1001"/>
        </w:numPr>
      </w:pPr>
      <w:r>
        <w:t xml:space="preserve">Huang, T., Liu, T., Babadi, M., Ying, R. &amp; Jin, W. npj Digit. Med. 8, 659 (2025).</w:t>
      </w:r>
    </w:p>
    <w:p>
      <w:pPr>
        <w:pStyle w:val="Compact"/>
        <w:numPr>
          <w:ilvl w:val="0"/>
          <w:numId w:val="1001"/>
        </w:numPr>
      </w:pPr>
      <w:r>
        <w:t xml:space="preserve">Liu, T., Huang, T., Ding, T. et al. Nat. Biomed. Eng. https://doi.org/10.1038/s41551-025-01602-6 (2026).</w:t>
      </w:r>
    </w:p>
    <w:p>
      <w:pPr>
        <w:pStyle w:val="Compact"/>
        <w:numPr>
          <w:ilvl w:val="0"/>
          <w:numId w:val="1001"/>
        </w:numPr>
      </w:pPr>
      <w:r>
        <w:t xml:space="preserve">Chen, W., Zhang, P., Tran, T.N. et al. Nat. Methods 22, 1568-1582 (2025).</w:t>
      </w:r>
    </w:p>
    <w:p>
      <w:pPr>
        <w:pStyle w:val="Compact"/>
        <w:numPr>
          <w:ilvl w:val="0"/>
          <w:numId w:val="1001"/>
        </w:numPr>
      </w:pPr>
      <w:r>
        <w:t xml:space="preserve">Huang, Z., Bianchi, F., Yuksekgonul, M. et al. Nat. Med. 29, 2307-2316 (2023).</w:t>
      </w:r>
    </w:p>
    <w:p>
      <w:pPr>
        <w:pStyle w:val="Compact"/>
        <w:numPr>
          <w:ilvl w:val="0"/>
          <w:numId w:val="1001"/>
        </w:numPr>
      </w:pPr>
      <w:r>
        <w:t xml:space="preserve">Lu, M.Y., Chen, B., Williamson, D.F.K. et al. Nat. Med. 30, 863-874 (2024).</w:t>
      </w:r>
    </w:p>
    <w:p>
      <w:pPr>
        <w:pStyle w:val="Compact"/>
        <w:numPr>
          <w:ilvl w:val="0"/>
          <w:numId w:val="1001"/>
        </w:numPr>
      </w:pPr>
      <w:r>
        <w:t xml:space="preserve">Chen, R.J., Ding, T., Lu, M.Y. et al. Nat. Med. 30, 850-862 (2024).</w:t>
      </w:r>
    </w:p>
    <w:p>
      <w:pPr>
        <w:pStyle w:val="Compact"/>
        <w:numPr>
          <w:ilvl w:val="0"/>
          <w:numId w:val="1001"/>
        </w:numPr>
      </w:pPr>
      <w:r>
        <w:t xml:space="preserve">Xu, H., Usuyama, N., Bagga, J. et al. Nature 630, 181-188 (2024).</w:t>
      </w:r>
    </w:p>
    <w:p>
      <w:pPr>
        <w:pStyle w:val="Compact"/>
        <w:numPr>
          <w:ilvl w:val="0"/>
          <w:numId w:val="1001"/>
        </w:numPr>
      </w:pPr>
      <w:r>
        <w:t xml:space="preserve">Vorontsov, E., Bozkurt, A., Casson, A. et al. Nat. Med. 30, 2924-2935 (2024).</w:t>
      </w:r>
    </w:p>
    <w:p>
      <w:pPr>
        <w:pStyle w:val="Compact"/>
        <w:numPr>
          <w:ilvl w:val="0"/>
          <w:numId w:val="1001"/>
        </w:numPr>
      </w:pPr>
      <w:r>
        <w:t xml:space="preserve">Zheng, Y., Abila, E., Chrenková, E. et al. Nat. Methods 23, 728-731 (2026).</w:t>
      </w:r>
    </w:p>
    <w:p>
      <w:pPr>
        <w:pStyle w:val="Compact"/>
        <w:numPr>
          <w:ilvl w:val="0"/>
          <w:numId w:val="1001"/>
        </w:numPr>
      </w:pPr>
      <w:r>
        <w:t xml:space="preserve">Marconato, L., Palla, G., Yamauchi, K.A. et al. Nat. Methods 22, 58-62 (2025).</w:t>
      </w:r>
    </w:p>
    <w:p>
      <w:pPr>
        <w:pStyle w:val="Compact"/>
        <w:numPr>
          <w:ilvl w:val="0"/>
          <w:numId w:val="1001"/>
        </w:numPr>
      </w:pPr>
      <w:r>
        <w:t xml:space="preserve">Palla, G. et al. Nat. Methods 19, 171-178 (2022).</w:t>
      </w:r>
    </w:p>
    <w:p>
      <w:pPr>
        <w:pStyle w:val="Compact"/>
        <w:numPr>
          <w:ilvl w:val="0"/>
          <w:numId w:val="1001"/>
        </w:numPr>
      </w:pPr>
      <w:r>
        <w:t xml:space="preserve">10x Genomics. Preview Data: Atera In Situ Gene Expression, FFPE Human Breast Cancer; Preview Data: Atera In Situ Gene Expression, FFPE Human Cervical Cancer. https://www.10xgenomics.com/datasets/atera-wta-ffpe-human-breast-cancer; https://www.10xgenomics.com/datasets/atera-wta-ffpe-human-cervical-cancer (2026).</w:t>
      </w:r>
    </w:p>
    <w:bookmarkEnd w:id="12"/>
    <w:bookmarkStart w:id="13" w:name="figure-legend"/>
    <w:p>
      <w:pPr>
        <w:pStyle w:val="Heading2"/>
      </w:pPr>
      <w:r>
        <w:t xml:space="preserve">Figure legend</w:t>
      </w:r>
    </w:p>
    <w:p>
      <w:pPr>
        <w:pStyle w:val="FirstParagraph"/>
      </w:pPr>
      <w:r>
        <w:t xml:space="preserve">Fig. 1 | Contour-constrained residual decoding maps WTA programs from H&amp;E morphology. a, Atera WTA-derived spatial-omics contours provide shared geometry for H&amp;E LazySlide PLIP/UNI embeddings, WTA program summaries and residual tests. b, QC-filtered breast S3 luminal estrogen-response examples under the same contour label; labels report WTA and oriented H&amp;E embedding z-scores. Displayed examples satisfy n_tiles &gt;= 3 and n_cells &gt;= 50, and are illustrative rather than diagnostic claims. c, Top residual programs exceed compartment-aware spatial-null thresholds. d, Candidate molecularly active zones show ring-level H&amp;E-WTA boundary co-variation. e, Cross-cancer program-family stress test across breast/cervical PLIP/UNI candidates; dot area reports maximum absolute partial Spearman’s rho and text reports the top WTA program. Agreement is interpreted at program-family level because embedding axes can rotate or change sign.</w:t>
      </w:r>
    </w:p>
    <w:bookmarkEnd w:id="13"/>
    <w:bookmarkStart w:id="16" w:name="declarations"/>
    <w:p>
      <w:pPr>
        <w:pStyle w:val="Heading2"/>
      </w:pPr>
      <w:r>
        <w:t xml:space="preserve">Declarations</w:t>
      </w:r>
    </w:p>
    <w:bookmarkStart w:id="14" w:name="competing-interests"/>
    <w:p>
      <w:pPr>
        <w:pStyle w:val="Heading3"/>
      </w:pPr>
      <w:r>
        <w:t xml:space="preserve">Competing interests</w:t>
      </w:r>
    </w:p>
    <w:p>
      <w:pPr>
        <w:pStyle w:val="FirstParagraph"/>
      </w:pPr>
      <w:r>
        <w:t xml:space="preserve">The authors declare no competing interests.</w:t>
      </w:r>
    </w:p>
    <w:bookmarkEnd w:id="14"/>
    <w:bookmarkStart w:id="15" w:name="ethics-and-data-use-statement"/>
    <w:p>
      <w:pPr>
        <w:pStyle w:val="Heading3"/>
      </w:pPr>
      <w:r>
        <w:t xml:space="preserve">Ethics and data-use statement</w:t>
      </w:r>
    </w:p>
    <w:p>
      <w:pPr>
        <w:pStyle w:val="FirstParagraph"/>
      </w:pPr>
      <w:r>
        <w:t xml:space="preserve">This computational analysis used public/vendor example spatial WTA and H&amp;E data. The study did not involve new human sample collection, intervention or generation of new identifiable participant data.</w:t>
      </w:r>
    </w:p>
    <w:bookmarkEnd w:id="15"/>
    <w:bookmarkEnd w:id="16"/>
    <w:bookmarkEnd w:id="17"/>
    <w:sectPr>
      <w:footerReference w:type="default" r:id="rId9"/>
      <w:footnotePr>
        <w:numRestart w:val="eachSect"/>
      </w:footnotePr>
      <w:pgSz w:h="15840" w:w="12240"/>
      <w:pgMar w:bottom="1440" w:left="1440" w:right="1440" w:top="1440"/>
      <w:lnNumType w:countBy="1" w:distance="360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76" w:lineRule="auto"/>
      <w:contextualSpacing/>
      <w:jc w:val="center"/>
    </w:pPr>
    <w:rPr>
      <w:rFonts w:ascii="Times New Roman" w:cs="Times New Roman" w:eastAsia="Times New Roman" w:hAnsi="Times New Roman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76" w:lineRule="auto"/>
      <w:outlineLvl w:val="0"/>
    </w:pPr>
    <w:rPr>
      <w:rFonts w:ascii="Times New Roman" w:cs="Times New Roman" w:eastAsia="Times New Roman" w:hAnsi="Times New Roman"/>
      <w:b/>
      <w:color w:val="000000"/>
      <w:sz w:val="2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 w:line="276" w:lineRule="auto"/>
      <w:outlineLvl w:val="1"/>
    </w:pPr>
    <w:rPr>
      <w:rFonts w:ascii="Times New Roman" w:cs="Times New Roman" w:eastAsia="Times New Roman" w:hAnsi="Times New Roman"/>
      <w:b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2"/>
    </w:pPr>
    <w:rPr>
      <w:rFonts w:ascii="Times New Roman" w:cs="Times New Roman" w:eastAsia="Times New Roman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2026-05-18T20:29:55Z</dcterms:created>
  <dcterms:modified xsi:type="dcterms:W3CDTF">2026-05-18T20:29:55Z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