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Reporting Summary Draft</w:t>
      </w:r>
    </w:p>
    <w:p>
      <w:pPr>
        <w:spacing w:after="80" w:line="259" w:lineRule="auto"/>
      </w:pPr>
      <w:r>
        <w:rPr>
          <w:rFonts w:ascii="Times New Roman" w:hAnsi="Times New Roman" w:eastAsia="Times New Roman"/>
          <w:sz w:val="22"/>
        </w:rPr>
        <w:t>This draft is intended to populate the official Nature Portfolio Reporting Summary if the submission system requests the editable form. It is not a replacement for the official form.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4"/>
        </w:rPr>
        <w:t>Corresponding author</w:t>
      </w:r>
    </w:p>
    <w:p>
      <w:pPr>
        <w:spacing w:after="80" w:line="259" w:lineRule="auto"/>
      </w:pPr>
      <w:r>
        <w:rPr>
          <w:rFonts w:ascii="Times New Roman" w:hAnsi="Times New Roman" w:eastAsia="Times New Roman"/>
          <w:sz w:val="22"/>
        </w:rPr>
        <w:t>Provided in the editorial cover letter for double-anonymous peer review.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4"/>
        </w:rPr>
        <w:t>Statistics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Exact sample sizes: primary breast S3 residual associations use 157 H&amp;E-WTA paired contours; cervical stress-test associations use 215 H&amp;E-WTA paired contours. Source-data tables report the contour count for each association.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Measurement unit: one statistical row is one registered spatial-omics contour with matched H&amp;E embedding summaries and WTA program summaries.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Statistical tests: rank-residualized partial Spearman correlations were used for program-feature associations. Spatial-null empirical P values are two-sided and computed from compartment-aware permutations.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Covariates: spatial-omics-derived contour label where nonconstant, centroid-position covariates and boundary-distance summaries or bins. In breast S3 analyses the contour label is constant and omitted from the model matrix.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Multiple testing and discovery framing: the manuscript reports ranked candidate program-feature pairs and treats spatial permutations, block bootstrap, leave-one-block checks, local mismatch controls, centroid jitter, registration perturbation and nested spatial holdout as robustness checks rather than cohort-level validation.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4"/>
        </w:rPr>
        <w:t>Software and code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Data collection: no new experimental data collection was performed for this manuscript.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Data analysis: mTM analysis, direct WSI embedding, contour aggregation, statistical defense, figure composition and packaging are implemented in code identified in the manuscript Code availability section and in the editorial cover letter.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Code availability: public code and release links are provided in the manuscript Code availability section; the cover letter repeats the identifiers for editorial convenience.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4"/>
        </w:rPr>
        <w:t>Data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Source data: CSV figure source data for Fig. 1 and supplementary figures are included in the submission package; separate machine-readable Supplementary Data CSVs are included for robustness tables.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Referenced datasets: raw 10x Genomics Atera WTA and H&amp;E input files are public/vendor example datasets available at https://www.10xgenomics.com/datasets/atera-wta-ffpe-human-breast-cancer and https://www.10xgenomics.com/datasets/atera-wta-ffpe-human-cervical-cancer.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Restrictions: raw vendor inputs are not redistributed with this submission package. Public/vendor source datasets are identified in the manuscript Data availability statement.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4"/>
        </w:rPr>
        <w:t>Human research participants and data use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The analysis uses public/vendor example spatial WTA and H&amp;E data.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The study did not involve new human sample collection, intervention, recruitment or generation of new identifiable participant data.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Sex, gender, race, ethnicity and other participant-level characteristics were not analyzed because the public/vendor example datasets do not support participant-level inference for this study.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4"/>
        </w:rPr>
        <w:t>Life sciences study design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Sample size rationale: all available paired contours passing the locked contour/WTA/image matching workflow were analyzed for the reported breast S3 and cervical stress-test association sets.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Data exclusions: contours without matched H&amp;E-WTA summaries or required program/covariate values were not included in the corresponding association table; source-data files expose the analyzed contour counts.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Replication: cervical Atera WTA is treated as a second epithelial cancer stress test, not a direct replication of breast luminal estrogen-response biology. PLIP and UNI provide model-sensitivity evidence at the program-family level.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Randomization and blinding: no experimental randomization or blinding was introduced because this was a computational secondary analysis of public/vendor example data. Null distributions were generated by permutation within spatial/contour strata.</w:t>
      </w:r>
    </w:p>
    <w:p>
      <w:pPr>
        <w:pStyle w:val="ListBullet"/>
        <w:spacing w:after="20" w:line="254" w:lineRule="auto"/>
        <w:ind w:left="317" w:hanging="173"/>
      </w:pPr>
      <w:r>
        <w:rPr>
          <w:rFonts w:ascii="Times New Roman" w:hAnsi="Times New Roman" w:eastAsia="Times New Roman"/>
          <w:sz w:val="21"/>
        </w:rPr>
        <w:t>Validation limits: no IHC, protein-validation, clinical deployment or morphology-only diagnostic claim is made.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