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ADCD02300 - Calculation Of ADD/CVD</w:t>
      </w:r>
    </w:p>
    <w:p>
      <w:r>
        <w:t>ADD/CVD is payable when the goods concerned are released to free circulation. They are charged in addition to any normal customs duties that may be payable.</w:t>
      </w:r>
    </w:p>
    <w:p>
      <w:r>
        <w:t>The specified rates will be shown in the ‘Additional Information’ pages at the end of the relevant Chapter in Volume 2 of the Tariff. Amendments/additions are notified by CS&amp;TD via email and on ADD measures on the GOV.UK site.</w:t>
      </w:r>
    </w:p>
    <w:p>
      <w:r>
        <w:t>When the appropriate charges are expressed in € (Euros), then the industrial rate of exchange should be used. This can be found on the GOV.UK site.</w:t>
      </w:r>
    </w:p>
    <w:p>
      <w:r>
        <w:t>Where ADD/CVD is charged as a percentage of the ‘net free at Community-frontier price paid’, the value for ADD/CVD purposes is based on costs, insurance &amp; freight.</w:t>
      </w:r>
    </w:p>
    <w:p>
      <w:r>
        <w:t>Information on Valuation methods can be found in GACV (Guidance on Audit of Customs Values) and Public Notice 252 Valuation of imported goods for customs purposes, VAT and trade statistics.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