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BEER5020 - Conditions Under Which Beer In Duty Suspension May Be Moved</w:t>
      </w:r>
    </w:p>
    <w:p>
      <w:r>
        <w:t>All movements of beer in duty suspension are subject to the requirements of The Excise Goods (Holding, Movement and Duty Point) Regulations 2010 (Parts 5, 6, 8, 9, and 10).</w:t>
      </w:r>
    </w:p>
    <w:p>
      <w:r>
        <w:t>A guarantee is required in all circumstances for intra-EU movements of duty suspended beer.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