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CCM15020 - Compliance Issues Overview</w:t>
      </w:r>
    </w:p>
    <w:p>
      <w:r>
        <w:t>The main compliance risks associated with partners are:-</w:t>
      </w:r>
    </w:p>
    <w:p>
      <w:r>
        <w:t>an incorrect initial claim is made where someone claims to be single.</w:t>
      </w:r>
    </w:p>
    <w:p>
      <w:r>
        <w:t>an incorrect initial claim is made and this is repeated in the end of year declaration.</w:t>
      </w:r>
    </w:p>
    <w:p>
      <w:r>
        <w:t>the initial claim is correct but the customer fails to tell us within 1 month that a partner has joined their household.</w:t>
      </w:r>
    </w:p>
    <w:p>
      <w:r>
        <w:t>the initial claim is correct but the customer fails to tell us within 1 month that a partner has joined their household and this is still not disclosed in the end of year declaration.</w:t>
      </w:r>
    </w:p>
    <w:p>
      <w:r>
        <w:t>Before 6 April 2007 customers had 3 months to notify a change of circumstances.</w:t>
      </w:r>
    </w:p>
    <w:p>
      <w:r>
        <w:t>Where the customer is</w:t>
      </w:r>
    </w:p>
    <w:p>
      <w:r>
        <w:t>married to the undisclosed partner see CCM15035</w:t>
      </w:r>
    </w:p>
    <w:p>
      <w:r>
        <w:t>not married to the undisclosed partner see CCM15040</w:t>
      </w:r>
    </w:p>
    <w:p>
      <w:r>
        <w:t>of the same-sex as the undisclosed partner see CCM15290.</w:t>
      </w:r>
    </w:p>
    <w:p>
      <w:r>
        <w:t>Where you establish that a partner joined the household you must notify the customer of your conclusion - see CCM15350. You must then terminate the claim as of the date they became a couple. This is because Section 3(4)(b) says that entitlement ceases from the point they were no longer eligible to claim as a single person. Where you establish the partner was always living with the customer you should terminate the claim as of the date it was made because it was never a valid claim. Although the claim must be terminated in this way we may decide not to recover all of the resulting overpayment - see CCM15500.</w:t>
      </w:r>
    </w:p>
    <w:p>
      <w:r>
        <w:t>You might occasionally see the opposite situation where 2 people claim to be living as a couple when, in fact, they are only entitled to claim as single people. This is a much less common situation because there are fewer financial rewards. The criteria described in this chapter can still be used to decide whether they are single or a couple.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