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CFM38130 - Activities Not Within The CT Charge</w:t>
      </w:r>
    </w:p>
    <w:p>
      <w:r>
        <w:t>Activities not chargeable to corporation tax</w:t>
      </w:r>
    </w:p>
    <w:p>
      <w:r>
        <w:t>Any part of a company’s activities, the purpose of which is not within the charge to corporation tax, does not count as a business or other commercial purpose (CTA09/S442(3)).</w:t>
      </w:r>
    </w:p>
    <w:p>
      <w:r>
        <w:t>This would, for instance, apply where the UK branch of a non-UK resident company pays interest on a loan being used to fund activities of the company unconnected with the UK branch.</w:t>
      </w:r>
    </w:p>
    <w:p>
      <w:r>
        <w:t>Another example might be a golf club raising a loan to finance construction of a new club house.</w:t>
      </w:r>
    </w:p>
    <w:p>
      <w:r>
        <w:t>The interest expense would have to be apportioned into allowable and non-allowable parts according to the club’s taxable income from non-members and non-taxable income from members.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