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AE99FB" w14:textId="77777777" w:rsidR="00B62086" w:rsidRDefault="00A8522C">
      <w:pPr>
        <w:pStyle w:val="Title"/>
      </w:pPr>
      <w:bookmarkStart w:id="0" w:name="_GoBack"/>
      <w:bookmarkEnd w:id="0"/>
      <w:r>
        <w:t>HMRC - CFM45090 - Shares With Guaranteed Returns: Outstanding Third Party Obligations: Comparison With Commercial Rate Of Interest</w:t>
      </w:r>
    </w:p>
    <w:p w14:paraId="495608A7" w14:textId="77777777" w:rsidR="00B62086" w:rsidRDefault="00A8522C">
      <w:r>
        <w:t>Interest-like investment: substantial deviation from commercial rate of interest</w:t>
      </w:r>
    </w:p>
    <w:p w14:paraId="0496B9AD" w14:textId="77777777" w:rsidR="00B62086" w:rsidRDefault="00A8522C">
      <w:r>
        <w:t xml:space="preserve">This guidance applies to companies that </w:t>
      </w:r>
      <w:r>
        <w:t>hold shares up to 21 April 2009</w:t>
      </w:r>
    </w:p>
    <w:p w14:paraId="255DCE82" w14:textId="77777777" w:rsidR="00B62086" w:rsidRDefault="00A8522C">
      <w:r>
        <w:t>The rule provides that an investment is ‘interest-like’ where the fair value is likely to increase at a rate which represents a return on an investment of money at a commercial rate of interest, and is unlikely to deviate su</w:t>
      </w:r>
      <w:r>
        <w:t>bstantially from that rate of increase. In turn, the definition of commercial rate of interest allows latitude by referring to a rate which is ‘reasonably comparable’.</w:t>
      </w:r>
    </w:p>
    <w:p w14:paraId="1AC80E98" w14:textId="77777777" w:rsidR="00B62086" w:rsidRDefault="00A8522C">
      <w:r>
        <w:t>These two provisions are designed to prevent companies getting round the rules by slight</w:t>
      </w:r>
      <w:r>
        <w:t>ly tweaking a likely rate of increase in the fair value of a share, and should be operated as explained by the following example.</w:t>
      </w:r>
    </w:p>
    <w:p w14:paraId="07E4ADFF" w14:textId="77777777" w:rsidR="00B62086" w:rsidRDefault="00A8522C">
      <w:r>
        <w:t>Company A invests in shares in an SPV which are intended to increase in value using outstanding third party obligations. The a</w:t>
      </w:r>
      <w:r>
        <w:t>rrangement is to last a year and it is agreed that the correct comparative deposit rate between the parties would be 5%. The ‘reasonably comparable’ test prevents the parties escaping from FA96/S91A by using a slightly different rate such as 5.1% or 4.9%.</w:t>
      </w:r>
    </w:p>
    <w:p w14:paraId="6AF3BBC4" w14:textId="77777777" w:rsidR="00B62086" w:rsidRDefault="00A8522C">
      <w:r>
        <w:t>It would also be possible for the rate of increase in fair value to be varied during the term of the arrangement but in such a way that that the overall increase over the term was 5%. For instance, it would be possible to build in a rate of 5.5% for the fi</w:t>
      </w:r>
      <w:r>
        <w:t>rst 6 months and 4.5% for the second 6 months. The ‘unlikely to deviate substantially’ rule prevents such manipulation from taking the shares outside S524.</w:t>
      </w:r>
    </w:p>
    <w:p w14:paraId="23774DE2" w14:textId="77777777" w:rsidR="00B62086" w:rsidRDefault="00A8522C">
      <w:r>
        <w:t>From 12 March 2008, the special tax definition of ‘commercial rate of interest’ is repealed. In prac</w:t>
      </w:r>
      <w:r>
        <w:t>tice, this will not result in any change in HMRC’s approach to determining whether a rate of interest is ‘commercial’.</w:t>
      </w:r>
    </w:p>
    <w:p w14:paraId="32F39E5C" w14:textId="77777777" w:rsidR="00B62086" w:rsidRDefault="00A8522C">
      <w:r>
        <w:t xml:space="preserve"> Previous page</w:t>
      </w:r>
    </w:p>
    <w:p w14:paraId="470EFF4C" w14:textId="77777777" w:rsidR="00B62086" w:rsidRDefault="00A8522C">
      <w:r>
        <w:t xml:space="preserve"> Next page</w:t>
      </w:r>
    </w:p>
    <w:sectPr w:rsidR="00B6208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0480"/>
    <w:rsid w:val="0015074B"/>
    <w:rsid w:val="0029639D"/>
    <w:rsid w:val="00326F90"/>
    <w:rsid w:val="009A48FB"/>
    <w:rsid w:val="00A8522C"/>
    <w:rsid w:val="00AA1D8D"/>
    <w:rsid w:val="00B47730"/>
    <w:rsid w:val="00B62086"/>
    <w:rsid w:val="00CB0664"/>
    <w:rsid w:val="00E31E6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A654FB-840E-47D8-A632-C7A07F520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A8522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B89A690-D393-486A-B73D-6266CDD098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2019-10-25T03:11:00Z</dcterms:modified>
  <cp:category/>
</cp:coreProperties>
</file>