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7FD5" w14:textId="77777777" w:rsidR="00B87359" w:rsidRDefault="003A1C43">
      <w:pPr>
        <w:pStyle w:val="Title"/>
      </w:pPr>
      <w:bookmarkStart w:id="0" w:name="_GoBack"/>
      <w:bookmarkEnd w:id="0"/>
      <w:r>
        <w:t>HMRC - CFM57371 - Hedging: Anti-Avoidance</w:t>
      </w:r>
    </w:p>
    <w:p w14:paraId="7675DCAD" w14:textId="77777777" w:rsidR="00B87359" w:rsidRDefault="003A1C43">
      <w:r>
        <w:t>This guidance applies to periods of account starting on or after 1 January 2015.</w:t>
      </w:r>
    </w:p>
    <w:p w14:paraId="229FD1EF" w14:textId="77777777" w:rsidR="00B87359" w:rsidRDefault="003A1C43">
      <w:r>
        <w:t>Anti-avoidance arrangements</w:t>
      </w:r>
    </w:p>
    <w:p w14:paraId="684585AE" w14:textId="77777777" w:rsidR="00B87359" w:rsidRDefault="003A1C43">
      <w:r>
        <w:t>Regulation 6(1)(d)</w:t>
      </w:r>
    </w:p>
    <w:p w14:paraId="4E264578" w14:textId="77777777" w:rsidR="00B87359" w:rsidRDefault="003A1C43">
      <w:r>
        <w:t xml:space="preserve">There is a special rule in regulation 6(1)(d) to counter potential avoidance that </w:t>
      </w:r>
      <w:r>
        <w:t>could otherwise exploit the tax or accounting rules on hedging instruments. The rule is widely drawn and applies where there is an arrangement with a main purpose of obtaining a tax advantage that would not have arisen had regulation 7, 8 or 9 applied in r</w:t>
      </w:r>
      <w:r>
        <w:t>espect of the contract. The effect of the rule is to apply regulation 7, 8 or 9 (as case may be).</w:t>
      </w:r>
    </w:p>
    <w:p w14:paraId="2D43DD98" w14:textId="77777777" w:rsidR="00B87359" w:rsidRDefault="003A1C43">
      <w:r>
        <w:t>Application</w:t>
      </w:r>
    </w:p>
    <w:p w14:paraId="1F98D142" w14:textId="77777777" w:rsidR="00B87359" w:rsidRDefault="003A1C43">
      <w:r>
        <w:t>The changes to the elections under regulation 6A are to enable businesses to make an informed choice as to the most appropriate computational basi</w:t>
      </w:r>
      <w:r>
        <w:t>s for them in respect of derivative financial instruments. Companies with derivative contracts that fulfil a hedging function essentially have three main strategies regarding how they treat them for tax:</w:t>
      </w:r>
    </w:p>
    <w:p w14:paraId="44A09DEE" w14:textId="77777777" w:rsidR="00B87359" w:rsidRDefault="003A1C43">
      <w:r>
        <w:t>Adopting an approach of designating hedging relation</w:t>
      </w:r>
      <w:r>
        <w:t>ships in the accounts;</w:t>
      </w:r>
    </w:p>
    <w:p w14:paraId="60D77BD7" w14:textId="77777777" w:rsidR="00B87359" w:rsidRDefault="003A1C43">
      <w:r>
        <w:t>Electing into regulation 7, 8 or 9 of the Disregard Regulations;</w:t>
      </w:r>
    </w:p>
    <w:p w14:paraId="45B6D2C7" w14:textId="77777777" w:rsidR="00B87359" w:rsidRDefault="003A1C43">
      <w:r>
        <w:t>Do neither of these meaning they will be subject to taxed on the full amount of fair value volatility on the instruments.</w:t>
      </w:r>
    </w:p>
    <w:p w14:paraId="11C0F6CF" w14:textId="77777777" w:rsidR="00B87359" w:rsidRDefault="003A1C43">
      <w:r>
        <w:t>In most cases, it is expected that companies w</w:t>
      </w:r>
      <w:r>
        <w:t>ill either adopt a policy of designating hedging relationships in their accounts or electing into regulations 7, 8 and 9 of the Disregard Regulations. Exceptionally, companies may decide to neither designate hedging relationship in their accounts nor elect</w:t>
      </w:r>
      <w:r>
        <w:t xml:space="preserve"> into the Disregards Regulations. This may be the case where a company has a large number of derivative financial instruments. In this case, the company will be taxed on fair value profits, and obtain relief for fair value losses.</w:t>
      </w:r>
    </w:p>
    <w:p w14:paraId="32C926DC" w14:textId="77777777" w:rsidR="00B87359" w:rsidRDefault="003A1C43">
      <w:r>
        <w:t>As long as companies adop</w:t>
      </w:r>
      <w:r>
        <w:t>t one of these three strategies and applies it consistently to all its derivatives (or to a particular type of derivative) then this would not typically invoke the anti-avoidance rule. However, if they seek to mix and match different strategies to gain tax</w:t>
      </w:r>
      <w:r>
        <w:t xml:space="preserve"> benefits with the benefit of hindsight then the anti-avoidance rule should be considered.</w:t>
      </w:r>
    </w:p>
    <w:p w14:paraId="69E4A095" w14:textId="77777777" w:rsidR="00B87359" w:rsidRDefault="003A1C43">
      <w:r>
        <w:t>In particular, the anti-avoidance rule is intended to be invoked where a company seeks tax relief for a fair value loss and takes any steps to avoid being taxed on f</w:t>
      </w:r>
      <w:r>
        <w:t xml:space="preserve">air value profits. For example, where it applies different strategies based on whether derivatives give rise to a </w:t>
      </w:r>
      <w:r>
        <w:lastRenderedPageBreak/>
        <w:t>profit or a loss, or claiming a fair value loss and undertaking planning to ensure fair value profits do not arise in the future.</w:t>
      </w:r>
    </w:p>
    <w:p w14:paraId="02F16C18" w14:textId="77777777" w:rsidR="00B87359" w:rsidRDefault="003A1C43">
      <w:r>
        <w:t xml:space="preserve"> Previous pa</w:t>
      </w:r>
      <w:r>
        <w:t>ge</w:t>
      </w:r>
    </w:p>
    <w:p w14:paraId="02CC80C8" w14:textId="77777777" w:rsidR="00B87359" w:rsidRDefault="003A1C43">
      <w:r>
        <w:t xml:space="preserve"> Next page</w:t>
      </w:r>
    </w:p>
    <w:sectPr w:rsidR="00B87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02E"/>
    <w:rsid w:val="0029639D"/>
    <w:rsid w:val="00326F90"/>
    <w:rsid w:val="0039400A"/>
    <w:rsid w:val="003971DD"/>
    <w:rsid w:val="003A1C43"/>
    <w:rsid w:val="00AA1D8D"/>
    <w:rsid w:val="00B47730"/>
    <w:rsid w:val="00B873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7633A2-1CBE-4F60-B6DB-48E48613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A1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5DB67D-0FA4-46E9-B3A3-6AD0FA7F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2019-10-25T03:49:00Z</dcterms:modified>
  <cp:category/>
</cp:coreProperties>
</file>