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CFM95630 - x-Interest: Relevant Loan Relationship Amounts</w:t>
      </w:r>
    </w:p>
    <w:p>
      <w:r>
        <w:t>CFM95630 Interest restriction: Tax-interest: Relevant loan relationship amounts</w:t>
      </w:r>
    </w:p>
    <w:p>
      <w:r>
        <w:t>TIOPA10/S383 and TIOPA10/S386</w:t>
      </w:r>
    </w:p>
    <w:p>
      <w:r>
        <w:t>The definition of tax-interest includes certain loan relationship debits and credits in the tax-interest amount. The legislation makes separate provision for debits (s383) and credits (s386) but these sections are similar in nature. They define a relevant loan relationship debit or credit as any amount that would be brought into account under the loan relationship provisions, whether by CTA09/PT3 or CTA09/PT5, unless it is an excluded amount.</w:t>
      </w:r>
    </w:p>
    <w:p>
      <w:r>
        <w:t>Exchange gains and losses</w:t>
      </w:r>
    </w:p>
    <w:p>
      <w:r>
        <w:t>A loan relationship debit or credit will be excluded if it is in respect of an exchange gain or loss.</w:t>
      </w:r>
    </w:p>
    <w:p>
      <w:r>
        <w:t>Impairment losses and reversals</w:t>
      </w:r>
    </w:p>
    <w:p>
      <w:r>
        <w:t>Debits will also be excluded if they arise from an impairment loss, and symmetry is ensured by also excluding credits which arise from the reversal of a previous impairment.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