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CFM96960 - Infrastructure Company JV: Effect On Other Companies</w:t>
      </w:r>
    </w:p>
    <w:p>
      <w:r>
        <w:t>TIOPA10/S446(1)</w:t>
      </w:r>
    </w:p>
    <w:p>
      <w:r>
        <w:t>Ordinarily for a qualifying infrastructure company (QIC) company tax-interest expense is exempt where it is attributable to a creditor which is itself a QIC.</w:t>
      </w:r>
    </w:p>
    <w:p>
      <w:r>
        <w:t>However, this rule is disapplied where the creditor is a member of the JV group and the debtor company is not also in the JV worldwide group.</w:t>
      </w:r>
    </w:p>
    <w:p>
      <w:r>
        <w:t>This prevents the interest paid on a loan owed to the JV group outside of the JV group being an exempt amount if the company paying the expense is a related to the lender company.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