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CFM98230 - Rules: Carry Forward Of Interest Disallowance</w:t>
      </w:r>
    </w:p>
    <w:p>
      <w:r>
        <w:t>TIOPA10/S378-S379 and SCH7A/PARAS 25-26</w:t>
      </w:r>
    </w:p>
    <w:p>
      <w:r>
        <w:t>Where a UK group company has been subject to interest restriction in a period, the amounts of restricted tax-interest become an attribute of the company and it is possible for the amounts disallowed to be reactivated in a later period. Carry forward is at the level of the individual UK group company, rather than the worldwide group.</w:t>
      </w:r>
    </w:p>
    <w:p>
      <w:r>
        <w:t>The amounts so carried forward do not time-expire, and can be carried forward indefinitely until they subject to reactivation. However, amounts expire in the following circumstances.</w:t>
      </w:r>
    </w:p>
    <w:p>
      <w:r>
        <w:t>In relation to trading amounts, where the company ceases to carry on the trade or its scale becomes negligible.</w:t>
      </w:r>
    </w:p>
    <w:p>
      <w:r>
        <w:t>In relation to trading amounts, where the trade becomes uncommercial and non-statutory.</w:t>
      </w:r>
    </w:p>
    <w:p>
      <w:r>
        <w:t>In relation to amounts taken into account in computing the profits or losses of an investment business, where the company ceases to carry on the business or its scale becomes negligible.</w:t>
      </w:r>
    </w:p>
    <w:p>
      <w:r>
        <w:t>The carry forward of disallowed amounts and their reactivation is dealt with in the pages of this guidance in more detail as follows.</w:t>
      </w:r>
    </w:p>
    <w:p>
      <w:r>
        <w:t>Identification of items left out of account (company level) CFM98660</w:t>
      </w:r>
    </w:p>
    <w:p>
      <w:r>
        <w:t>Disallowed amounts carried forward (company level) CFM98670</w:t>
      </w:r>
    </w:p>
    <w:p>
      <w:r>
        <w:t>Reactivation of disallowed amounts (company level) CFM98680</w:t>
      </w:r>
    </w:p>
    <w:p>
      <w:r>
        <w:t>Statements of allocated interest reactivations (group level) CFM98610</w:t>
      </w:r>
    </w:p>
    <w:p>
      <w:r>
        <w:t>Computing tax-interest available for reactivation (company and group level) CFM98620</w:t>
      </w:r>
    </w:p>
    <w:p>
      <w:r>
        <w:t>Identification of reactivated amounts (company level) CFM98690</w:t>
      </w:r>
    </w:p>
    <w:p>
      <w:r>
        <w:t>Set off of disallowances and reactivations (company level) CFM98700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