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CFM98310 - Rules: Introduction</w:t>
      </w:r>
    </w:p>
    <w:p>
      <w:r>
        <w:t>F(No.2)A17/Sch10/Part 4</w:t>
      </w:r>
    </w:p>
    <w:p>
      <w:r>
        <w:t>The Corporate Interest Restriction rules come into effect on 1 April 2017. They therefore apply for all periods of account of a worldwide group starting on or after that date. For groups that have a straddling period of account, this period is treated as split into two notional periods of account.</w:t>
      </w:r>
    </w:p>
    <w:p>
      <w:r>
        <w:t>The Worldwide Debt Cap rules are repealed with effect from 1 April 2017. The rules governing the repeal mirror the commencement rules in relation to straddling periods.</w:t>
      </w:r>
    </w:p>
    <w:p>
      <w:r>
        <w:t>In addition, the following rules apply on transition to the new corporate interest restriction regime:</w:t>
      </w:r>
    </w:p>
    <w:p>
      <w:r>
        <w:t>There are a number of extended time limits that apply for the first year of the rules.</w:t>
      </w:r>
    </w:p>
    <w:p>
      <w:r>
        <w:t>Certain amounts in respect of previous accounting and tax changes are excluded from the regime.</w:t>
      </w:r>
    </w:p>
    <w:p>
      <w:r>
        <w:t>Certain adjustments are made to the group’s financial statements in two situations to address group mismatches.</w:t>
      </w:r>
    </w:p>
    <w:p>
      <w:r>
        <w:t>Groups may make an election to be treated, for the purposes of these rules, as if they had elected into regulations 7, 8 and 9 of the Disregard Regulations.</w:t>
      </w:r>
    </w:p>
    <w:p>
      <w:r>
        <w:t>Existing guarantees as at 1 April 2017 are grandfathered such that they do not themselves cause debt to be related party debt. Likewise, any finance lease in existence as at 1 April 2017 is not considered to be a related party debt.</w:t>
      </w:r>
    </w:p>
    <w:p>
      <w:r>
        <w:t>Transitional infrastructure rules which can apply to accounting periods beginning before 1 April 2018 give the business time to restructure if necessary to qualify for the main infrastructure rules. In addition, there is limited grandfathering of loans funding assets that have a highly predictable income based on qualifying public contracts.</w:t>
      </w:r>
    </w:p>
    <w:p>
      <w:r>
        <w:t>Specific provisions limit the effect of the regime anti avoidance rule for certain restructurings in connection with commencement.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