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CFM98350 - Rules: Extended Time Limits</w:t>
      </w:r>
    </w:p>
    <w:p>
      <w:r>
        <w:t>F(No.2)A17/SCH10/PARAS27-33</w:t>
      </w:r>
    </w:p>
    <w:p>
      <w:r>
        <w:t>There are a number of time limits that are extended for the first year of the rules.</w:t>
      </w:r>
    </w:p>
    <w:p>
      <w:r>
        <w:t>Members of a group normally have six months from the end of a period of account for the appointment of a reporting company or the revocation of an appointment. This time limit is extended so that an appointment or revocation is valid if made by 31 March 2018.</w:t>
      </w:r>
    </w:p>
    <w:p>
      <w:r>
        <w:t>Further, the filing deadline for making an interest restriction return is extended in the first year so that it is not before 30 June 2018.</w:t>
      </w:r>
    </w:p>
    <w:p>
      <w:r>
        <w:t>Also, the following elections can be made by 31 March 2018 where they would otherwise be required to be made prior to that date:</w:t>
      </w:r>
    </w:p>
    <w:p>
      <w:r>
        <w:t>Election to disapply s484 (which may set a group’s period of account by reference to the single entity accounts of its ultimate parent)</w:t>
      </w:r>
    </w:p>
    <w:p>
      <w:r>
        <w:t>Election to specify a period of account</w:t>
      </w:r>
    </w:p>
    <w:p>
      <w:r>
        <w:t>Transitional rules for infrastructure</w:t>
      </w:r>
    </w:p>
    <w:p>
      <w:r>
        <w:t>Election to be treated as applying the Disregard Regulations</w:t>
      </w:r>
    </w:p>
    <w:p>
      <w:r>
        <w:t>The other elections under the rules are typically made by the reporting company in the interest restriction return.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