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CFM98360 - Rules: Previous Accounting And Tax Changes</w:t>
      </w:r>
    </w:p>
    <w:p>
      <w:r>
        <w:t>F(No.2)A17/Sch10/Para29-30</w:t>
      </w:r>
    </w:p>
    <w:p>
      <w:r>
        <w:t>The Corporate Interest Restriction applies to amounts of tax-interest and tax-EBITDA. These in turn are based on the amounts brought into account for the purposes of corporation tax in the tax return and computations of individual companies.</w:t>
      </w:r>
    </w:p>
    <w:p>
      <w:r>
        <w:t>However, there are two specific exceptions that apply on transition to the rules where the amounts relate to changes in accounting and tax prior to 1 April 2017:</w:t>
      </w:r>
    </w:p>
    <w:p>
      <w:r>
        <w:t>The first exception applies where there has been a change of accounting policy and the period in which the new accounting policy applies, referred as at the later period, started before 1 April 2017. In this case the debits or credits brought into account under the Change of Accounting Practice Regulations 2004 (S.I. 2004/3271) in respect of that change of accounting policy are ignored for Corporate Interest Restriction purposes.</w:t>
      </w:r>
    </w:p>
    <w:p>
      <w:r>
        <w:t>The second exception applies to ignore transitional adjustments arising from F(No.2)A15/Sch7 that are being brought into account under Para115/116 (transitional adjustments relating to loan relationships) or Para119/120 (transitional adjustments relating to derivative contracts).</w:t>
      </w:r>
    </w:p>
    <w:p>
      <w:r>
        <w:t>These amounts are not therefore included as tax-interest or tax-EBITDA amounts under the regime.</w:t>
      </w:r>
    </w:p>
    <w:p>
      <w:r>
        <w:t>Likewise, these amounts would not be included as group-interest and group-EBITDA (relevant in respect of {changes in accounting} where an alternative calculation election has been made).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