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CFM98780 - Procedure: Revision Of A Return During An Enquiry</w:t>
      </w:r>
    </w:p>
    <w:p>
      <w:r>
        <w:t>TIOPA10/SCH7A/PARA46</w:t>
      </w:r>
    </w:p>
    <w:p>
      <w:r>
        <w:t>TIOPA10/SCH7A/PARA46 follows the lines of FA98/SCH18/PARA31 and regulates what happens if a reporting company submits an amended return during the course of an enquiry.</w:t>
      </w:r>
    </w:p>
    <w:p>
      <w:r>
        <w:t>The revisions made may be taken into account in the enquiry and do not restrict its scope.</w:t>
      </w:r>
    </w:p>
    <w:p>
      <w:r>
        <w:t>The effects of the revision are deferred. They do not affect the tax payable by a company until the enquiry is completed, although this does not prevent a claim for repayment being made in advance of liability being established (TMA70/S59DA). On closure of the enquiry, the closure notice may disregard the revisions, accept them, or require them to be made along with other actions.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