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CFM98900 - Powers: Duty To Keep And Preserve Records</w:t>
      </w:r>
    </w:p>
    <w:p>
      <w:r>
        <w:t>TIOPA10/SCH7A/PARAS 38, 39</w:t>
      </w:r>
    </w:p>
    <w:p>
      <w:r>
        <w:t>The duty to keep and preserve records in TIOPA10/SCH7A/PT 3 is similar to the corresponding company tax return requirements at FA98/SCH18/PARA21 to 23. The fundamental requirement in TIOPA10 SCH7A/PARA38 is for a reporting company to keep such records as are needed for it to be able to submit a complete and correct return for a period of account.</w:t>
      </w:r>
    </w:p>
    <w:p>
      <w:r>
        <w:t>Normally records must be kept until 6 years after the period, although HMRC may specify a shorter period for some or all records. Where the company is required to submit a return, it is required to keep records until such time (if later) as any enquiry is complete or a normal time limits enquiry cannot be opened. The information may be preserved in any form – subject to any conditions or exceptions specified in writing by HMRC (PARA38(6)).</w:t>
      </w:r>
    </w:p>
    <w:p>
      <w:r>
        <w:t>The Commissioners of Revenue and Customs may make regulations specifying which records do, or do not, need to be kept and preserved – PARA38(7).</w:t>
      </w:r>
    </w:p>
    <w:p>
      <w:r>
        <w:t>Penalties for failure to keep and preserve records are dealt with under PARA39, see CFM99100.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