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CFM98990 - Administration: Penalties: Introduction</w:t>
      </w:r>
    </w:p>
    <w:p>
      <w:r>
        <w:t>The interest restriction provisions have their own penalty provisions, tailored to a regime that works primarily at the level of the worldwide group. Many of the general penalty provisions in FA07/SCH24 do not fit with a group level regime, or are unnecessary as they do not relate to matters involved with the interest restriction rules.</w:t>
      </w:r>
    </w:p>
    <w:p>
      <w:r>
        <w:t>There are circumstances in which a company is required to amend its company tax return to take account of allocated tax-interest restrictions or reactivations or of the effects of elections it has made. The company becomes liable to a penalty of £500 if it fails to amend its return within the time limit. The penalty is administered in the same way as a penalty for failure to deliver an interest restriction return. For the circumstances in which such a company level penalty can arise, see CFM98630+.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