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CG15830 - Losses: Relief For Loans To Traders</w:t>
      </w:r>
    </w:p>
    <w:p>
      <w:r>
        <w:t>TCGA92/S253</w:t>
      </w:r>
    </w:p>
    <w:p>
      <w:r>
        <w:t>Under certain circumstances a loss may be claimed</w:t>
      </w:r>
    </w:p>
    <w:p>
      <w:r>
        <w:t>where money lent to a person carrying on a trade, profession or vocation and used wholly for the purposes of that person’s business has become irrecoverable, or</w:t>
      </w:r>
    </w:p>
    <w:p>
      <w:r>
        <w:t>where payment has been made under a guarantee in respect of such a loan.</w:t>
      </w:r>
    </w:p>
    <w:p>
      <w:r>
        <w:t>Relief is not available under S253(3) if the borrower’s debt is a debt on a security, see CG53420+.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