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CG34720 - Settlor Trusts: Introduction: Summary Of Provisions</w:t>
      </w:r>
    </w:p>
    <w:p>
      <w:r>
        <w:t>TCGA92/S77, TCGA92/S78, TCGA92/S79</w:t>
      </w:r>
    </w:p>
    <w:p>
      <w:r>
        <w:t>These provisions apply to disposals by trustees on or after 6 April 1988 and before 6 April 2008 if</w:t>
      </w:r>
    </w:p>
    <w:p>
      <w:r>
        <w:t>both the settlor and the trustees are resident in the UK during any part of the year (or ordinarily resident in the UK during the year), and</w:t>
      </w:r>
    </w:p>
    <w:p>
      <w:r>
        <w:t>has an interest in the settlement, or</w:t>
      </w:r>
    </w:p>
    <w:p>
      <w:r>
        <w:t>enjoys a benefit deriving from the settlement income or property, see CG34751.</w:t>
      </w:r>
    </w:p>
    <w:p>
      <w:r>
        <w:t>With effect from 6 April 2006 the provisions also apply to settlements, whenever made, where the settlor’s minor child or step-child (unless married or with a civil partner) is entitled to benefit or does in fact benefit from the settlement, except to the extent that as a result of a claim the settlement falls within the vulnerable beneficiaries’ régime described in CG35550+.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