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CG34722 - Settlor Trusts: Introduction: Summary Of Provisions</w:t>
      </w:r>
    </w:p>
    <w:p>
      <w:r>
        <w:t>The chargeable gains of the settlement are computed in the normal way and reduced byany allowable losses, see CG34860. If there is a surplus of chargeable gains the settloris taxed as if the balance was a gain accruing to him.</w:t>
      </w:r>
    </w:p>
    <w:p>
      <w:r>
        <w:t>Surplus allowable losses are carried forward by the trustees. They are not available tothe settlor.</w:t>
      </w:r>
    </w:p>
    <w:p>
      <w:r>
        <w:t>The trustees’ own annual exempt amount is not taken into account in thesecomputations.</w:t>
      </w:r>
    </w:p>
    <w:p>
      <w:r>
        <w:t>Any tax paid by the settlor as a result of these provisions can be recovered from thetrustees of the settlement, see CG34970.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