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CG34770 - Settlor Trusts: Income Tax Rulings</w:t>
      </w:r>
    </w:p>
    <w:p>
      <w:r>
        <w:t>In general a settlement is within the scope of the provisions if the trust foldercontains guidance from HMRC Trusts Head Office, - Bootle or Edinburgh, or a ruling byFinancial Intermediaries and Claims Office, formerly Claims Branch</w:t>
      </w:r>
    </w:p>
    <w:p>
      <w:r>
        <w:t>on form CBA3, or</w:t>
      </w:r>
    </w:p>
    <w:p>
      <w:r>
        <w:t>on form CBA4 and the life tenant is either the settlor or the settlor’s spouse, or</w:t>
      </w:r>
    </w:p>
    <w:p>
      <w:r>
        <w:t>that the settlement is caught by ICTA88/S673 or ICTA88/S683 (formerly ICTA70/S447 and ICTA70/S457).</w:t>
      </w:r>
    </w:p>
    <w:p>
      <w:r>
        <w:t>that the settlement is caught by ICTA88/S660A (introduced in FA95), now ITTOIA05/S624.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