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CG34860 - Settlor Trusts: Computations: Amount Chargeable: On Settlor</w:t>
      </w:r>
    </w:p>
    <w:p>
      <w:r>
        <w:t>TCGA92/S77 (1)</w:t>
      </w:r>
    </w:p>
    <w:p>
      <w:r>
        <w:t>If the chargeable gains of the trustees exceed their losses:</w:t>
      </w:r>
    </w:p>
    <w:p>
      <w:r>
        <w:t>no assessment is made in respect of those gains on the trustees,</w:t>
      </w:r>
    </w:p>
    <w:p>
      <w:r>
        <w:t>the annual exempt amount due to the trustees is disregarded,</w:t>
      </w:r>
    </w:p>
    <w:p>
      <w:r>
        <w:t>the net chargeable gains are treated as accruing to the settlor. For 1998-1999, 1999-2000 and, if an election is not made, see CG34873, certain later years, the amount attributed to the settlor is the amount which remains after the application of taper relief,</w:t>
      </w:r>
    </w:p>
    <w:p>
      <w:r>
        <w:t>in computing the settlor’s chargeable gains for the year, losses accruing in a personal capacity are deducted against personal gains first,</w:t>
      </w:r>
    </w:p>
    <w:p>
      <w:r>
        <w:t>for years up to and including 1997-98 remaining personal losses are deducted from the trustees’ gains attributed to the settlor. CG34865+ explains the interaction of personal losses, attributed trust gains and taper relief for 1998-99 onwards,</w:t>
      </w:r>
    </w:p>
    <w:p>
      <w:r>
        <w:t>the annual exempt amount due is then set against the total chargeable gains including attributed trust gains,</w:t>
      </w:r>
    </w:p>
    <w:p>
      <w:r>
        <w:t>any excess of allowable losses arising to the trustees cannot be set against the personal gains of the settlor.</w:t>
      </w:r>
    </w:p>
    <w:p>
      <w:r>
        <w:t>If there is more than one settlor associated with the settlement, see CG34890 +.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