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CG34874 - Settlor Trusts: Computations: Personal Losses: Election For 2000-01 To 2002-03: Example</w:t>
      </w:r>
    </w:p>
    <w:p>
      <w:r>
        <w:t>In 2002-03 a settlor-interested trust has chargeable gains £100,000 and allowable losses of £20,000. The taper rate applicable to these gains is 25%. The settlor has personal chargeable gains of £50,000 and allowable capital losses of £60,000.</w:t>
      </w:r>
    </w:p>
    <w:p>
      <w:r>
        <w:t>The position with and without an election is as follows: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