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CG34891 - Settlor Trusts: Computations: Multiple Settlors</w:t>
      </w:r>
    </w:p>
    <w:p>
      <w:r>
        <w:t>Where property is acquired as a result of an arms length transaction the third party is not to be regarded as providing property for the purposes of the settlement, thereby becoming a settlor. Instead the property is regarded as representing the cash previously held.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