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CG34895 - Settlor Trusts: Computations: Multiple Settlors</w:t>
      </w:r>
    </w:p>
    <w:p>
      <w:r>
        <w:t>If one settlor is within Section 79 and the other is not, the gains are apportioned on the lines suggested, but those relating to the settlor who is outside Section 79 are assessed on the trustees in the normal way after deducting the trustees’ annual exempt amount.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