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CG34950P - CG34950 Procedures: Contents</w:t>
      </w:r>
    </w:p>
    <w:p/>
    <w:p>
      <w:r>
        <w:t>TRUSTS AND CAPITAL GAINS TAX</w:t>
      </w:r>
    </w:p>
    <w:p>
      <w:r>
        <w:t>Trusts where settlor can benefit</w:t>
      </w:r>
    </w:p>
    <w:p>
      <w:r>
        <w:t>Procedures</w:t>
      </w:r>
    </w:p>
    <w:p>
      <w:r>
        <w:t>CG34950    Settlor trusts: procedures: returns by trustees</w:t>
      </w:r>
    </w:p>
    <w:p>
      <w:r>
        <w:t>CG34951    Settlor trusts: procedures: returns by settlors</w:t>
      </w:r>
    </w:p>
    <w:p>
      <w:r>
        <w:t>CG34960    Settlor trusts: procedures: assessment</w:t>
      </w:r>
    </w:p>
    <w:p>
      <w:r>
        <w:t>CG34970    Settlor trusts: recovery by settlor from trustees of tax paid</w:t>
      </w:r>
    </w:p>
    <w:p>
      <w:r>
        <w:t>CG34973    Settlor trusts: form of certificate</w:t>
      </w:r>
    </w:p>
    <w:p>
      <w:r>
        <w:t>CG34974    Settlor trusts: normal case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