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CG35010 - Settlor Trusts: Maintenance Funds For Historic Buildings</w:t>
      </w:r>
    </w:p>
    <w:p>
      <w:r>
        <w:t>TCGA92/S79 (8)</w:t>
      </w:r>
    </w:p>
    <w:p>
      <w:r>
        <w:t>Where the trustees of a heritage maintenance settlement made a valid election under ICTA/S691 or subsequently ITA/S508 that the income of the settlement should not be treated as the settlor’s (see TSEM4000+), their election also covered gains. Therefore if an election was made the provisions of TCGA92/S77 did not apply in respect of trust gains accruing on the disposal of assets from the fund in question.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