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D1BD9" w14:textId="77777777" w:rsidR="002B2251" w:rsidRDefault="00C86A56">
      <w:pPr>
        <w:pStyle w:val="Title"/>
      </w:pPr>
      <w:bookmarkStart w:id="0" w:name="_GoBack"/>
      <w:bookmarkEnd w:id="0"/>
      <w:r>
        <w:t>HMRC - CH11200 - Income Tax, Capital Gains Tax And Corporation Tax General Requirements</w:t>
      </w:r>
    </w:p>
    <w:p w14:paraId="7AC229FF" w14:textId="77777777" w:rsidR="002B2251" w:rsidRDefault="00C86A56">
      <w:r>
        <w:t xml:space="preserve">We may require any person, see CH10400, to make a Self-Assessment return. Generally, they must keep the records they need to make and deliver a correct and </w:t>
      </w:r>
      <w:r>
        <w:t>complete return for the tax year or period, even if they don’t make a return every year. We do not specify in detail the type of record they must keep.</w:t>
      </w:r>
    </w:p>
    <w:p w14:paraId="05D2177F" w14:textId="77777777" w:rsidR="002B2251" w:rsidRDefault="00C86A56">
      <w:r>
        <w:t>However, there are additional, more specific, requirements for</w:t>
      </w:r>
    </w:p>
    <w:p w14:paraId="67DC205A" w14:textId="77777777" w:rsidR="002B2251" w:rsidRDefault="00C86A56">
      <w:r>
        <w:t>persons carrying on a trade, profession o</w:t>
      </w:r>
      <w:r>
        <w:t>r business alone or in partnership, and</w:t>
      </w:r>
    </w:p>
    <w:p w14:paraId="02D205E6" w14:textId="77777777" w:rsidR="002B2251" w:rsidRDefault="00C86A56">
      <w:r>
        <w:t>companies.</w:t>
      </w:r>
    </w:p>
    <w:p w14:paraId="4E38FCEE" w14:textId="287BC1DC" w:rsidR="002B2251" w:rsidRDefault="00C86A56">
      <w:pPr>
        <w:rPr>
          <w:ins w:id="1" w:author="Comparison" w:date="2019-10-30T18:14:00Z"/>
        </w:rPr>
      </w:pPr>
      <w:del w:id="2" w:author="Comparison" w:date="2019-10-30T18:14:00Z">
        <w:r>
          <w:delText>CH11300</w:delText>
        </w:r>
      </w:del>
      <w:ins w:id="3" w:author="Comparison" w:date="2019-10-30T18:14:00Z">
        <w:r>
          <w:t>[We may require any person, see CH10400, to make a Self-Assessment return. Generally, they must keep the records they need to make and deliver a correct and complete return for the tax year or period, even</w:t>
        </w:r>
        <w:r>
          <w:t xml:space="preserve"> if they don’t make a return every year. We do not specify in detail the type of record they must keep.</w:t>
        </w:r>
      </w:ins>
    </w:p>
    <w:p w14:paraId="7B4C0F06" w14:textId="77777777" w:rsidR="002B2251" w:rsidRDefault="00C86A56">
      <w:pPr>
        <w:rPr>
          <w:ins w:id="4" w:author="Comparison" w:date="2019-10-30T18:14:00Z"/>
        </w:rPr>
      </w:pPr>
      <w:ins w:id="5" w:author="Comparison" w:date="2019-10-30T18:14:00Z">
        <w:r>
          <w:t>However, there are additional, more specific, requirements for</w:t>
        </w:r>
      </w:ins>
    </w:p>
    <w:p w14:paraId="2FE964D9" w14:textId="77777777" w:rsidR="002B2251" w:rsidRDefault="00C86A56">
      <w:pPr>
        <w:rPr>
          <w:ins w:id="6" w:author="Comparison" w:date="2019-10-30T18:14:00Z"/>
        </w:rPr>
      </w:pPr>
      <w:ins w:id="7" w:author="Comparison" w:date="2019-10-30T18:14:00Z">
        <w:r>
          <w:t>persons carrying on a trade, profession or business alone or in partnership, and</w:t>
        </w:r>
      </w:ins>
    </w:p>
    <w:p w14:paraId="27CEA27D" w14:textId="77777777" w:rsidR="002B2251" w:rsidRDefault="00C86A56">
      <w:pPr>
        <w:rPr>
          <w:ins w:id="8" w:author="Comparison" w:date="2019-10-30T18:14:00Z"/>
        </w:rPr>
      </w:pPr>
      <w:ins w:id="9" w:author="Comparison" w:date="2019-10-30T18:14:00Z">
        <w:r>
          <w:t>companie</w:t>
        </w:r>
        <w:r>
          <w:t>s.</w:t>
        </w:r>
      </w:ins>
    </w:p>
    <w:p w14:paraId="3D3C5E17" w14:textId="77777777" w:rsidR="002B2251" w:rsidRDefault="00C86A56">
      <w:ins w:id="10" w:author="Comparison" w:date="2019-10-30T18:14:00Z">
        <w:r>
          <w:t>](https://www.gov.uk/hmrc-internal-manuals/compliance-handbook/ch11300)</w:t>
        </w:r>
      </w:ins>
      <w:r>
        <w:t xml:space="preserve"> provides more detail.</w:t>
      </w:r>
    </w:p>
    <w:p w14:paraId="4FF27989" w14:textId="77777777" w:rsidR="002B2251" w:rsidRDefault="00C86A56">
      <w:r>
        <w:t>We can charge a penalty if a person fails to keep or retain records, see EM4650.</w:t>
      </w:r>
    </w:p>
    <w:p w14:paraId="242D6D2A" w14:textId="77777777" w:rsidR="002B2251" w:rsidRDefault="00C86A56">
      <w:r>
        <w:t>For details of how records may be preserved, see CH13000.</w:t>
      </w:r>
    </w:p>
    <w:p w14:paraId="7DC1A96A" w14:textId="77777777" w:rsidR="002B2251" w:rsidRDefault="00C86A56">
      <w:r>
        <w:t>For details of how l</w:t>
      </w:r>
      <w:r>
        <w:t>ong records must be retained for, see CH14000.</w:t>
      </w:r>
    </w:p>
    <w:p w14:paraId="098D3A74" w14:textId="77777777" w:rsidR="002B2251" w:rsidRDefault="00C86A56">
      <w:r>
        <w:t>For details of the documentation required for transfer-pricing purposes, see INTM433020.</w:t>
      </w:r>
    </w:p>
    <w:p w14:paraId="0A0819D5" w14:textId="77777777" w:rsidR="002B2251" w:rsidRDefault="00C86A56">
      <w:r>
        <w:t>Records not required to be kept</w:t>
      </w:r>
    </w:p>
    <w:p w14:paraId="73D3C1DD" w14:textId="77777777" w:rsidR="002B2251" w:rsidRDefault="00C86A56">
      <w:r>
        <w:t>From 1 April 2009 HMRC can make regulations that may</w:t>
      </w:r>
    </w:p>
    <w:p w14:paraId="1DC1320D" w14:textId="77777777" w:rsidR="002B2251" w:rsidRDefault="00C86A56">
      <w:r>
        <w:t xml:space="preserve">specify the records and supporting </w:t>
      </w:r>
      <w:r>
        <w:t>documents that must be kept</w:t>
      </w:r>
    </w:p>
    <w:p w14:paraId="17A9CC74" w14:textId="77777777" w:rsidR="002B2251" w:rsidRDefault="00C86A56">
      <w:r>
        <w:t>specify the records and supporting documents that need not be kept</w:t>
      </w:r>
    </w:p>
    <w:p w14:paraId="68154CAA" w14:textId="77777777" w:rsidR="002B2251" w:rsidRDefault="00C86A56">
      <w:r>
        <w:lastRenderedPageBreak/>
        <w:t>make different provisions for different cases, and</w:t>
      </w:r>
    </w:p>
    <w:p w14:paraId="142AFD63" w14:textId="77777777" w:rsidR="002B2251" w:rsidRDefault="00C86A56">
      <w:r>
        <w:t>specify records by way of a notice.</w:t>
      </w:r>
    </w:p>
    <w:p w14:paraId="50477A75" w14:textId="77777777" w:rsidR="002B2251" w:rsidRDefault="00C86A56">
      <w:r>
        <w:t>We have not made any such regulations yet for IT, CGT or CT.</w:t>
      </w:r>
    </w:p>
    <w:p w14:paraId="6131BCE2" w14:textId="77777777" w:rsidR="002B2251" w:rsidRDefault="00C86A56">
      <w:r>
        <w:t>TMA70/S12B</w:t>
      </w:r>
    </w:p>
    <w:p w14:paraId="4C2816E6" w14:textId="77777777" w:rsidR="002B2251" w:rsidRDefault="00C86A56">
      <w:r>
        <w:t>FA</w:t>
      </w:r>
      <w:r>
        <w:t>98/SCH18/PARA21</w:t>
      </w:r>
    </w:p>
    <w:p w14:paraId="39034581" w14:textId="77777777" w:rsidR="002B2251" w:rsidRDefault="00C86A56">
      <w:r>
        <w:t xml:space="preserve"> Previous page</w:t>
      </w:r>
    </w:p>
    <w:p w14:paraId="4D8E386F" w14:textId="77777777" w:rsidR="002B2251" w:rsidRDefault="00C86A56">
      <w:r>
        <w:t xml:space="preserve"> Next page</w:t>
      </w:r>
    </w:p>
    <w:sectPr w:rsidR="002B22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411"/>
    <w:rsid w:val="0015074B"/>
    <w:rsid w:val="0029639D"/>
    <w:rsid w:val="002B2251"/>
    <w:rsid w:val="00326F90"/>
    <w:rsid w:val="00662134"/>
    <w:rsid w:val="009347CE"/>
    <w:rsid w:val="00AA1D8D"/>
    <w:rsid w:val="00B47730"/>
    <w:rsid w:val="00C86A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97CFB6-2B26-4E06-A9A6-68545D49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86A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585688-D6B6-4998-87A0-EF753277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2019-10-30T18:14:00Z</dcterms:modified>
  <cp:category/>
</cp:coreProperties>
</file>