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CH143320 - Interest: Late Payment Interest: Special Provisions: Special Provisions For Start Dates: Over-Repayment Of Tax</w:t>
      </w:r>
    </w:p>
    <w:p>
      <w:r>
        <w:t>You must check whether, and from which date, the FA 2009 interest rules apply to the tax or duty you are dealing with. See CH140160 for full details.</w:t>
      </w:r>
    </w:p>
    <w:p>
      <w:r>
        <w:t>Where an amount of income tax or capital gains tax has been repaid to a person who should not have received the repayment, we may assess and recover that amount of tax as if it were unpaid tax under section 30 TMA 1970 .</w:t>
      </w:r>
    </w:p>
    <w:p>
      <w:r>
        <w:t>For an assessment under Section 30 TMA 1970, a special provision says that the late payment interest start date is 31 January following the tax year in respect of which the assessment is made.</w:t>
      </w:r>
    </w:p>
    <w:p>
      <w:r>
        <w:t>See CH143340 for an example.</w:t>
      </w:r>
    </w:p>
    <w:p>
      <w:r>
        <w:t>TMA70/S30</w:t>
      </w:r>
    </w:p>
    <w:p>
      <w:r>
        <w:t>FA09/SCH53/PARA5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