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4985" w14:textId="77777777" w:rsidR="0032389D" w:rsidRDefault="00A06863">
      <w:pPr>
        <w:pStyle w:val="Title"/>
      </w:pPr>
      <w:bookmarkStart w:id="0" w:name="_GoBack"/>
      <w:bookmarkEnd w:id="0"/>
      <w:r>
        <w:t xml:space="preserve">HMRC - CH402150 - </w:t>
      </w:r>
      <w:ins w:id="1" w:author="Comparison" w:date="2019-10-30T18:09:00Z">
        <w:r>
          <w:t xml:space="preserve">Charging Penalties: Establishing Penalty Behaviour: </w:t>
        </w:r>
      </w:ins>
      <w:r>
        <w:t>Evasion: Contents</w:t>
      </w:r>
    </w:p>
    <w:p w14:paraId="240F2691" w14:textId="77777777" w:rsidR="004035B5" w:rsidRDefault="00A06863">
      <w:pPr>
        <w:rPr>
          <w:del w:id="2" w:author="Comparison" w:date="2019-10-30T18:09:00Z"/>
        </w:rPr>
      </w:pPr>
      <w:del w:id="3" w:author="Comparison" w:date="2019-10-30T18:09:00Z">
        <w:r>
          <w:delText>CH402160    Introduction</w:delText>
        </w:r>
      </w:del>
    </w:p>
    <w:p w14:paraId="74475CAB" w14:textId="77777777" w:rsidR="004035B5" w:rsidRDefault="00A06863">
      <w:pPr>
        <w:rPr>
          <w:del w:id="4" w:author="Comparison" w:date="2019-10-30T18:09:00Z"/>
        </w:rPr>
      </w:pPr>
      <w:del w:id="5" w:author="Comparison" w:date="2019-10-30T18:09:00Z">
        <w:r>
          <w:delText>CH402170    Referral Criteria</w:delText>
        </w:r>
      </w:del>
    </w:p>
    <w:p w14:paraId="70BAFDB6" w14:textId="77777777" w:rsidR="004035B5" w:rsidRDefault="00A06863">
      <w:pPr>
        <w:rPr>
          <w:del w:id="6" w:author="Comparison" w:date="2019-10-30T18:09:00Z"/>
        </w:rPr>
      </w:pPr>
      <w:del w:id="7" w:author="Comparison" w:date="2019-10-30T18:09:00Z">
        <w:r>
          <w:delText>CH402175    Voluntary request for contractual disclosure facility (CDF)</w:delText>
        </w:r>
      </w:del>
    </w:p>
    <w:p w14:paraId="50A4170B" w14:textId="77777777" w:rsidR="004035B5" w:rsidRDefault="00A06863">
      <w:pPr>
        <w:rPr>
          <w:del w:id="8" w:author="Comparison" w:date="2019-10-30T18:09:00Z"/>
        </w:rPr>
      </w:pPr>
      <w:del w:id="9" w:author="Comparison" w:date="2019-10-30T18:09:00Z">
        <w:r>
          <w:delText>CH402180    Referral Process</w:delText>
        </w:r>
      </w:del>
    </w:p>
    <w:p w14:paraId="4214D870" w14:textId="77777777" w:rsidR="004035B5" w:rsidRDefault="00A06863">
      <w:pPr>
        <w:rPr>
          <w:del w:id="10" w:author="Comparison" w:date="2019-10-30T18:09:00Z"/>
        </w:rPr>
      </w:pPr>
      <w:del w:id="11" w:author="Comparison" w:date="2019-10-30T18:09:00Z">
        <w:r>
          <w:delText xml:space="preserve"> Previous page</w:delText>
        </w:r>
      </w:del>
    </w:p>
    <w:p w14:paraId="68831C9A" w14:textId="34C0198E" w:rsidR="0032389D" w:rsidRDefault="00A06863">
      <w:del w:id="12" w:author="Comparison" w:date="2019-10-30T18:09:00Z">
        <w:r>
          <w:delText xml:space="preserve"> Next page</w:delText>
        </w:r>
      </w:del>
      <w:ins w:id="13" w:author="Comparison" w:date="2019-10-30T18:09:00Z">
        <w:r>
          <w:t>This guidance has been moved and the contents can now be found at CH290000.</w:t>
        </w:r>
      </w:ins>
    </w:p>
    <w:sectPr w:rsidR="00323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C90"/>
    <w:rsid w:val="0029639D"/>
    <w:rsid w:val="0032389D"/>
    <w:rsid w:val="00326F90"/>
    <w:rsid w:val="004035B5"/>
    <w:rsid w:val="004C1343"/>
    <w:rsid w:val="00A068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42B0F0-E566-4BB2-B692-7345048B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068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DB22C-B404-4C6B-88A9-F2323502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2019-10-30T18:09:00Z</dcterms:modified>
  <cp:category/>
</cp:coreProperties>
</file>