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493BB" w14:textId="77777777" w:rsidR="00AC38AD" w:rsidRDefault="00124EEE">
      <w:pPr>
        <w:pStyle w:val="Title"/>
      </w:pPr>
      <w:bookmarkStart w:id="0" w:name="_GoBack"/>
      <w:bookmarkEnd w:id="0"/>
      <w:r>
        <w:t>HMRC - CIRD42010 - Re-Organisations: Overview</w:t>
      </w:r>
    </w:p>
    <w:p w14:paraId="72E44413" w14:textId="77777777" w:rsidR="00AC38AD" w:rsidRDefault="00124EEE">
      <w:r>
        <w:t>CTA09/PART8/CHAPTER11</w:t>
      </w:r>
    </w:p>
    <w:p w14:paraId="3A147042" w14:textId="77777777" w:rsidR="00AC38AD" w:rsidRDefault="00124EEE">
      <w:r>
        <w:t xml:space="preserve">CTA09/PART8/CHAPTER11 contains rules, equivalent to those for CG tax purposes, to ensure continuity or consistency of treatment where intangible fixed assets change hands in the </w:t>
      </w:r>
      <w:r>
        <w:t>course of a business reorganisation.</w:t>
      </w:r>
    </w:p>
    <w:p w14:paraId="3D23686C" w14:textId="77777777" w:rsidR="00AC38AD" w:rsidRDefault="00124EEE">
      <w:r>
        <w:t>The topics covered are:</w:t>
      </w:r>
    </w:p>
    <w:p w14:paraId="1269C5EA" w14:textId="77777777" w:rsidR="00AC38AD" w:rsidRDefault="00124EEE">
      <w:r>
        <w:t>company reconstructions where transferor receives no consideration (except for the assumption of liabilities) - see CIRD42020;</w:t>
      </w:r>
    </w:p>
    <w:p w14:paraId="7EDA4AD7" w14:textId="77777777" w:rsidR="00AC38AD" w:rsidRDefault="00124EEE">
      <w:r>
        <w:t>the transfer of a UK trade between EU companies resident in differen</w:t>
      </w:r>
      <w:r>
        <w:t>t states - see CIRD42030;</w:t>
      </w:r>
    </w:p>
    <w:p w14:paraId="17761A16" w14:textId="77777777" w:rsidR="00AC38AD" w:rsidRDefault="00124EEE">
      <w:r>
        <w:t>the transfer of an EU (but non UK) trade by a UK company to a company resident in another EU state - see CIRD42060;</w:t>
      </w:r>
    </w:p>
    <w:p w14:paraId="28D37AC3" w14:textId="77777777" w:rsidR="00AC38AD" w:rsidRDefault="00124EEE">
      <w:r>
        <w:t>the domestication of foreign permanent establishments of UK companies by local incorporation - see CIRD42040;</w:t>
      </w:r>
    </w:p>
    <w:p w14:paraId="54194A3A" w14:textId="77777777" w:rsidR="00AC38AD" w:rsidRDefault="00124EEE">
      <w:r>
        <w:t xml:space="preserve">the </w:t>
      </w:r>
      <w:r>
        <w:t>formation of a European company (‘Societas Europaea’ or ‘SE’) CIRD42080;</w:t>
      </w:r>
    </w:p>
    <w:p w14:paraId="69418688" w14:textId="77777777" w:rsidR="00AC38AD" w:rsidRDefault="00124EEE">
      <w:r>
        <w:t>clearance applications for the above transactions - see CIRD42100;</w:t>
      </w:r>
    </w:p>
    <w:p w14:paraId="11D30C17" w14:textId="77777777" w:rsidR="00AC38AD" w:rsidRDefault="00124EEE">
      <w:r>
        <w:t>transfers of long-term (usually life) assurance business between two companies - see CIRD42120; and</w:t>
      </w:r>
    </w:p>
    <w:p w14:paraId="68838B6B" w14:textId="77777777" w:rsidR="00AC38AD" w:rsidRDefault="00124EEE">
      <w:r>
        <w:t>transfers or ama</w:t>
      </w:r>
      <w:r>
        <w:t>lgamations of building society business - see CIRD42130 and CIRD42140.</w:t>
      </w:r>
    </w:p>
    <w:p w14:paraId="19888980" w14:textId="77777777" w:rsidR="00AC38AD" w:rsidRDefault="00124EEE">
      <w:r>
        <w:t>These provisions do not apply to straight share for share exchanges where the direct ownership of the intangible asset remains unaltered, even if the ownership of the company changes. S</w:t>
      </w:r>
      <w:r>
        <w:t>uch transactions may however trigger a degrouping adjustment under the rules explained in (CIRD40500 onwards).</w:t>
      </w:r>
    </w:p>
    <w:p w14:paraId="260FB01E" w14:textId="77777777" w:rsidR="00AC38AD" w:rsidRDefault="00124EEE">
      <w:r>
        <w:t xml:space="preserve">The transfer of a business may well involve the transfer of intangible assets that are not in the balance sheet, in particular goodwill that has </w:t>
      </w:r>
      <w:r>
        <w:t>been internally generated (rather than purchased) by the transferor company.</w:t>
      </w:r>
    </w:p>
    <w:p w14:paraId="42E446B7" w14:textId="77777777" w:rsidR="00AC38AD" w:rsidRDefault="00124EEE">
      <w:pPr>
        <w:rPr>
          <w:ins w:id="1" w:author="Comparison" w:date="2019-10-24T23:16:00Z"/>
        </w:rPr>
      </w:pPr>
      <w:ins w:id="2" w:author="Comparison" w:date="2019-10-24T23:16:00Z">
        <w:r>
          <w:t>Clearances</w:t>
        </w:r>
      </w:ins>
    </w:p>
    <w:p w14:paraId="4A79AFD3" w14:textId="77777777" w:rsidR="00AC38AD" w:rsidRDefault="00124EEE">
      <w:pPr>
        <w:rPr>
          <w:ins w:id="3" w:author="Comparison" w:date="2019-10-24T23:16:00Z"/>
        </w:rPr>
      </w:pPr>
      <w:ins w:id="4" w:author="Comparison" w:date="2019-10-24T23:16:00Z">
        <w:r>
          <w:t xml:space="preserve">Where a clearance, either statutory or non-statutory, is given concerning either a cross-border transaction or a Permanent Establishment then it is likely that this is </w:t>
        </w:r>
        <w:r>
          <w:t xml:space="preserve">a cross-border </w:t>
        </w:r>
        <w:r>
          <w:lastRenderedPageBreak/>
          <w:t>ruling and should therefore be exchanged under the EU Directive 2011/16 (“the DAC”). Guidance on what constitutes a ruling for the purposes of the DAC can be found in the International Exchange of Information Manual at IEIM550100. Such a rul</w:t>
        </w:r>
        <w:r>
          <w:t>ing should be reported to the JITSIC team and guidance on how to do this, including the template to use, is at IEIM570900.</w:t>
        </w:r>
      </w:ins>
    </w:p>
    <w:p w14:paraId="395B0739" w14:textId="77777777" w:rsidR="00AC38AD" w:rsidRDefault="00AC38AD">
      <w:pPr>
        <w:rPr>
          <w:ins w:id="5" w:author="Comparison" w:date="2019-10-24T23:16:00Z"/>
        </w:rPr>
      </w:pPr>
    </w:p>
    <w:p w14:paraId="7430D9D0" w14:textId="77777777" w:rsidR="00AC38AD" w:rsidRDefault="00AC38AD">
      <w:pPr>
        <w:rPr>
          <w:ins w:id="6" w:author="Comparison" w:date="2019-10-24T23:16:00Z"/>
        </w:rPr>
      </w:pPr>
    </w:p>
    <w:p w14:paraId="1121050A" w14:textId="77777777" w:rsidR="00AC38AD" w:rsidRDefault="00124EEE">
      <w:r>
        <w:t xml:space="preserve"> Next page</w:t>
      </w:r>
    </w:p>
    <w:sectPr w:rsidR="00AC38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4EEE"/>
    <w:rsid w:val="0015074B"/>
    <w:rsid w:val="0029639D"/>
    <w:rsid w:val="00326F90"/>
    <w:rsid w:val="008D05C8"/>
    <w:rsid w:val="00A10057"/>
    <w:rsid w:val="00AA1D8D"/>
    <w:rsid w:val="00AC38AD"/>
    <w:rsid w:val="00B47730"/>
    <w:rsid w:val="00B856E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BAFB6BC-1B2D-42EC-9EBF-6E03612EA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124EE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4E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E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BB3C41C-35F8-4029-A6A9-0ECC6267F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2019-10-24T22:16:00Z</dcterms:modified>
  <cp:category/>
</cp:coreProperties>
</file>