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COM71095 - Closing An Enquiry Non-Contract Settlement Helpcard For COTAX Operators</w:t>
      </w:r>
    </w:p>
    <w:p>
      <w:r>
        <w:t>If you are a COTAX operator and a caseworker has asked you to close an enquiry in a non-contract settlement case, consider steps 1 - below. The guide is presented as follows.</w:t>
      </w:r>
    </w:p>
    <w:p>
      <w:r>
        <w:t>General guidance</w:t>
      </w:r>
    </w:p>
    <w:p>
      <w:r>
        <w:t xml:space="preserve"> You must have the COTAX CT Co-ordinator role to carry out all the required actions.</w:t>
      </w:r>
    </w:p>
    <w:p>
      <w:r>
        <w:t>The caseworker must give you full instructions on the entries that are needed in the closure notice and the CT chargeable figure that will result.</w:t>
      </w:r>
    </w:p>
    <w:p>
      <w:r>
        <w:t>Initial actions</w:t>
      </w:r>
    </w:p>
    <w:p>
      <w:r>
        <w:t xml:space="preserve"> Do your instructions from the caseworker show that the conclusion the enquiry means that the self assessment figures need to be amended?</w:t>
      </w:r>
    </w:p>
    <w:p>
      <w:r>
        <w:t>If yes, go to step 3.</w:t>
      </w:r>
    </w:p>
    <w:p>
      <w:r>
        <w:t>If no, go to step 10.</w:t>
      </w:r>
    </w:p>
    <w:p>
      <w:r>
        <w:t xml:space="preserve"> Has the caseworker advised you that there is a jeopardy amendment with an outstanding appeal?</w:t>
      </w:r>
    </w:p>
    <w:p>
      <w:r>
        <w:t>If yes, go to step 14.</w:t>
      </w:r>
    </w:p>
    <w:p>
      <w:r>
        <w:t>If no, go to step 4.</w:t>
      </w:r>
    </w:p>
    <w:p>
      <w:r>
        <w:t xml:space="preserve"> Do your instructions show that the AP structure needs to be amended because the return under enquiry has been made for the wrong period?</w:t>
      </w:r>
    </w:p>
    <w:p>
      <w:r>
        <w:t>If yes, go to step 16.</w:t>
      </w:r>
    </w:p>
    <w:p>
      <w:r>
        <w:t>If no, go to step 5.</w:t>
      </w:r>
    </w:p>
    <w:p>
      <w:r>
        <w:t>Using COTAX to prepare the closure notice</w:t>
      </w:r>
    </w:p>
    <w:p>
      <w:r>
        <w:t>If the figure does not agree, use the button to produce a printout of the screen and refer it to the caseworker for further guidance. Use the button to abandon RAMA until you get fresh instructions.</w:t>
      </w:r>
    </w:p>
    <w:p>
      <w:r>
        <w:t>If the enquiry is recorded in Caseflow and you have access to that system, ask the caseworker to allocate the task to you and follow the guidance on the Enforcement &amp; Compliance intranet site by following the Caseflow ‘Useful link’ and then the Caseflow Guidance link.</w:t>
      </w:r>
    </w:p>
    <w:p>
      <w:r>
        <w:t>If the enquiry is recorded on CQI and you have access to that system, follow the guidance in the Managing Compliance Guide at MCG731.</w:t>
      </w:r>
    </w:p>
    <w:p>
      <w:r>
        <w:t>Top of page</w:t>
      </w:r>
    </w:p>
    <w:p>
      <w:r>
        <w:t>You need to record the issue of a manual assessment</w:t>
      </w:r>
    </w:p>
    <w:p>
      <w:r>
        <w:t>You must carry out these actions on the same day that the manual closure notice with revenue amendment is issued.</w:t>
      </w:r>
    </w:p>
    <w:p>
      <w:r>
        <w:t>10. Use function MRSC (Maintain Rept / Realloc Signals (Company)) to inhibit reallocations or repayments to or from any AP of the company.</w:t>
      </w:r>
    </w:p>
    <w:p>
      <w:r>
        <w:t>11. Use function RAMA (Record / Amend Assessment). Select the ‘closure notice with rev amdt’ option. Enter the figures supplied by the caseworker.</w:t>
      </w:r>
    </w:p>
    <w:p>
      <w:r>
        <w:t>If the caseworker has asked you to provide a printout of the calculation to help them prepare the manual closure notice, use the button when you have entered the figures and clicked .</w:t>
      </w:r>
    </w:p>
    <w:p>
      <w:r>
        <w:t>On screen COT121G select ‘record manual issue’ from the ‘do you want to?’ field and enter today’s date as the date of issue.</w:t>
      </w:r>
    </w:p>
    <w:p>
      <w:r>
        <w:t>12. Deal with any penalty as instructed by the caseworker then go to step 9.</w:t>
      </w:r>
    </w:p>
    <w:p>
      <w:r>
        <w:t>Top of page</w:t>
      </w:r>
    </w:p>
    <w:p>
      <w:r>
        <w:t>There is an appeal against a jeopardy amendment on the AP</w:t>
      </w:r>
    </w:p>
    <w:p>
      <w:r>
        <w:t>13. Check for any action required at step 4 then follow the guidance at step 5.</w:t>
      </w:r>
    </w:p>
    <w:p>
      <w:r>
        <w:t>14. On screen COT121G in function RAMA, show how the appeal is determined as instructed by the caseworker then go to step 9.</w:t>
      </w:r>
    </w:p>
    <w:p>
      <w:r>
        <w:t>Top of page</w:t>
      </w:r>
    </w:p>
    <w:p>
      <w:r>
        <w:t>You need to amend the AP structure before you can issue the closure notice</w:t>
      </w:r>
    </w:p>
    <w:p>
      <w:r>
        <w:t>15. Use function MRSC (Maintain Repay / Realloc Signals (Company)) to inhibit automatic repayments and reallocations for all APs.</w:t>
      </w:r>
    </w:p>
    <w:p>
      <w:r>
        <w:t>16. Use function MAPS (Maintain AP Signals). Select the AP the caseworker has told you to supersede, select the [SA Enquiry Details] button and change the ‘enquiry in progress’ signal to ‘N’.</w:t>
      </w:r>
    </w:p>
    <w:p>
      <w:r>
        <w:t>17. Use function DASS (Display Assessment) to view the assessments on the AP you are going to supersede.</w:t>
      </w:r>
    </w:p>
    <w:p>
      <w:r>
        <w:t>18. Use the button to produce prints of all the assessments as these must be kept in case they are later needed for evidential purposes.</w:t>
      </w:r>
    </w:p>
    <w:p>
      <w:r>
        <w:t>19. If the company tax return for the AP you are going to supersede was submitted electronically, use View CT Returns and takes prints of the CT600 and attachments.</w:t>
      </w:r>
    </w:p>
    <w:p>
      <w:r>
        <w:t>20. Use function URTN (Unlog Return) to unlog the return on the AP that you are going to supersede.</w:t>
      </w:r>
    </w:p>
    <w:p>
      <w:r>
        <w:t>21. Use function MAPD (Maintain AP Dates) to change the structure of the AP record as instructed by the caseworker.</w:t>
      </w:r>
    </w:p>
    <w:p>
      <w:r>
        <w:t>If COTAX cannot automatically link the APs, ask the caseworker for advice.</w:t>
      </w:r>
    </w:p>
    <w:p>
      <w:r>
        <w:t>22. Use function LRTN (Log Return) to log and capture the return onto the correct AP. Do not ask COTAX to issue an acknowledgement as we no longer issue paper acknowledgements.</w:t>
      </w:r>
    </w:p>
    <w:p>
      <w:r>
        <w:t>23. Use function MAPS (Maintain AP signals). Select the correct A, select the [SA Enquiry Details] button, set the ‘enquiry in progress’ signal to ‘Y’, change the ‘started’ date to the original enquiry start date and Enter the enquiry type.</w:t>
      </w:r>
    </w:p>
    <w:p>
      <w:r>
        <w:t>24. Use function MRSC (Maintain Repay / Realloc Signals (Company)) to unset the inhibition on automatic repayments and reallocations for all APs.</w:t>
      </w:r>
    </w:p>
    <w:p>
      <w:r>
        <w:t>25. Check function VPPD (View Payment and Posting Details) to make sure payments have correctly been moved from the superseded AP to the new AP.</w:t>
      </w:r>
    </w:p>
    <w:p>
      <w:r>
        <w:t>If payments need to be moved manually, use function REWD (Direct Reallocation Within COTAX) to do so.</w:t>
      </w:r>
    </w:p>
    <w:p>
      <w:r>
        <w:t>Go to steps 5 to 9.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