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CTM61680 - Close Companies: Loans To Participators: Indirect Loans - Exceptions</w:t>
      </w:r>
    </w:p>
    <w:p>
      <w:r>
        <w:t>ICTA88/S419 (5)</w:t>
      </w:r>
    </w:p>
    <w:p>
      <w:r>
        <w:t>A payment, transfer, release etc, arising from an arrangement described in CTM61670 may be included in the total income of the recipient of the payment etc.</w:t>
      </w:r>
    </w:p>
    <w:p>
      <w:r>
        <w:t>When the amount included in that person’s total income is more than or equal to the amount of the loan or advance, ICTA88/S419 (5) will not apply.</w:t>
      </w:r>
    </w:p>
    <w:p>
      <w:r>
        <w:t>This may happen, for example, where:</w:t>
      </w:r>
    </w:p>
    <w:p>
      <w:r>
        <w:t>a payment to the recipient is treated as his/her income for IT purposes (for example, as a distribution within ICTA88/S209 or ICTA88/S418),</w:t>
      </w:r>
    </w:p>
    <w:p>
      <w:r>
        <w:t>a loan to the recipient falls within the provisions of ITTOIA05/S633.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