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3189D" w14:textId="77777777" w:rsidR="00B55735" w:rsidRDefault="00D04975">
      <w:pPr>
        <w:pStyle w:val="Title"/>
      </w:pPr>
      <w:bookmarkStart w:id="0" w:name="_GoBack"/>
      <w:bookmarkEnd w:id="0"/>
      <w:r>
        <w:t>HMRC - CTM80680 - Example: Claim By Company Owned By A Consortium From A Company In The Same Group As A Member Of The Consortium</w:t>
      </w:r>
    </w:p>
    <w:p w14:paraId="541405EB" w14:textId="77777777" w:rsidR="00B55735" w:rsidRDefault="00D04975">
      <w:r>
        <w:t>The consortium and group structure is as shown in the diagram at CTM80590.</w:t>
      </w:r>
    </w:p>
    <w:p w14:paraId="1F33DBC5" w14:textId="77777777" w:rsidR="00B55735" w:rsidRDefault="00D04975">
      <w:r>
        <w:t xml:space="preserve">The percentages shown in the diagram </w:t>
      </w:r>
      <w:r>
        <w:t>indicate beneficial ownership of ordinary share capital and you should assume that the arrangements rules (CTA10/Ss146A, 146B, and 155) do not apply.</w:t>
      </w:r>
    </w:p>
    <w:p w14:paraId="2382CE6A" w14:textId="77777777" w:rsidR="00B55735" w:rsidRDefault="00D04975">
      <w:r>
        <w:t>The votes and entitlement to profits and assets on winding up follow the shareholdings shown (see CTA10/Ss</w:t>
      </w:r>
      <w:r>
        <w:t>151(4) for the 75%+ and 90%+ subsidiaries (CTM80535), and Ss143(3) and 144(3) for the ownership proportions of L and X in CH (CTM80540 and CTM80545)).</w:t>
      </w:r>
    </w:p>
    <w:p w14:paraId="6C3574AC" w14:textId="77777777" w:rsidR="00B55735" w:rsidRDefault="00D04975">
      <w:r>
        <w:t>Apportionments are on a time basis (see CTM80260 for alternative methods).</w:t>
      </w:r>
    </w:p>
    <w:p w14:paraId="59C9E537" w14:textId="77777777" w:rsidR="00B55735" w:rsidRDefault="00D04975">
      <w:r>
        <w:t>Facts</w:t>
      </w:r>
    </w:p>
    <w:p w14:paraId="316B5D34" w14:textId="77777777" w:rsidR="00B55735" w:rsidRDefault="00D04975">
      <w:r>
        <w:t xml:space="preserve">CH is a holding company </w:t>
      </w:r>
      <w:r>
        <w:t>owned by members of a consortium L (60%) and X (40%). CH holds 90% of the ordinary share capital of CT1 a trading subsidiary. CT2 and CT3 are 100% trading subsidiaries of CH.</w:t>
      </w:r>
    </w:p>
    <w:p w14:paraId="7EE34EC8" w14:textId="77777777" w:rsidR="00B55735" w:rsidRDefault="00D04975">
      <w:r>
        <w:t xml:space="preserve">L owns 75% of the shares in S2. The other 25% are not held by any company in P’s </w:t>
      </w:r>
      <w:r>
        <w:t>group.</w:t>
      </w:r>
    </w:p>
    <w:p w14:paraId="71524604" w14:textId="77777777" w:rsidR="00B55735" w:rsidRDefault="00D04975">
      <w:r>
        <w:t>This part of the consortium and group structure has existed for many years.</w:t>
      </w:r>
    </w:p>
    <w:p w14:paraId="7C54EEED" w14:textId="77777777" w:rsidR="00B55735" w:rsidRDefault="00D04975">
      <w:r>
        <w:t>All the companies except S2 draw up accounts to 31 December.</w:t>
      </w:r>
    </w:p>
    <w:p w14:paraId="615EF474" w14:textId="77777777" w:rsidR="00B55735" w:rsidRDefault="00D04975">
      <w:r>
        <w:t>For accounting periods to 31 December 2010:</w:t>
      </w:r>
    </w:p>
    <w:p w14:paraId="12D4F7CF" w14:textId="77777777" w:rsidR="00B55735" w:rsidRDefault="00D04975">
      <w:r>
        <w:t>CT1 has profits of £40,000.</w:t>
      </w:r>
    </w:p>
    <w:p w14:paraId="0F3388BC" w14:textId="77777777" w:rsidR="00B55735" w:rsidRDefault="00D04975">
      <w:r>
        <w:t>CT2 and CT3 each have losses of £3,000.</w:t>
      </w:r>
    </w:p>
    <w:p w14:paraId="4711412E" w14:textId="77777777" w:rsidR="00B55735" w:rsidRDefault="00D04975">
      <w:r>
        <w:t>CH has neither profit nor loss.</w:t>
      </w:r>
    </w:p>
    <w:p w14:paraId="7BFE53FB" w14:textId="77777777" w:rsidR="00B55735" w:rsidRDefault="00D04975">
      <w:r>
        <w:t>S2 has losses of £19,000 for accounting period 12 months to 30 June 2011.</w:t>
      </w:r>
    </w:p>
    <w:p w14:paraId="66E8AEF4" w14:textId="77777777" w:rsidR="00B55735" w:rsidRDefault="00D04975">
      <w:r>
        <w:t>CT1 makes a consortium claim in respect of S2’s losses.</w:t>
      </w:r>
    </w:p>
    <w:p w14:paraId="078CC0B4" w14:textId="77777777" w:rsidR="00B55735" w:rsidRDefault="00D04975">
      <w:r>
        <w:lastRenderedPageBreak/>
        <w:t xml:space="preserve">CTA10/S149(2) and (3) (CTM80585) applies because there is the potential for CT1 to make group </w:t>
      </w:r>
      <w:r>
        <w:t>claims in respect of CT2’s and CT3’s losses. It could claim £6,000 in total, £3,000 from each. So for the purposes of calculating the amount of consortium relief CT1 can claim, its total profits are £34,000 (£40,000 minus £6,000).</w:t>
      </w:r>
    </w:p>
    <w:p w14:paraId="3DC968BF" w14:textId="77777777" w:rsidR="00B55735" w:rsidRDefault="00D04975">
      <w:r>
        <w:t>Procedure</w:t>
      </w:r>
    </w:p>
    <w:p w14:paraId="72C4396E" w14:textId="77777777" w:rsidR="00B55735" w:rsidRDefault="00D04975">
      <w:r>
        <w:t xml:space="preserve">The provisions </w:t>
      </w:r>
      <w:r>
        <w:t xml:space="preserve">about apportionment to overlapping periods (CTA10/Ss138 to 142 - CTM80215) interact with those about consortium shares (CTA10/S144 - CTM80545) and those about surrenders by group members CTA10/Ss133 and 145 - CTM80560. A restriction is also needed because </w:t>
      </w:r>
      <w:r>
        <w:t>the consortium company could claim make group claims from fellow group companies (CTA10/S149 - CTM80585).</w:t>
      </w:r>
    </w:p>
    <w:p w14:paraId="6CDC2D31" w14:textId="77777777" w:rsidR="00B55735" w:rsidRDefault="00D04975">
      <w:r>
        <w:t>The claim</w:t>
      </w:r>
    </w:p>
    <w:p w14:paraId="55BE90EF" w14:textId="77777777" w:rsidR="00B55735" w:rsidRDefault="00D04975">
      <w:r>
        <w:t>CT1 can claim consortium relief from S2 because S2 is in the same group as the link company L. CTA10/S133 applies (CTM80550).</w:t>
      </w:r>
    </w:p>
    <w:p w14:paraId="0ACAFC77" w14:textId="77777777" w:rsidR="00B55735" w:rsidRDefault="00D04975">
      <w:r>
        <w:t>The overlappin</w:t>
      </w:r>
      <w:r>
        <w:t>g period (CTM80225) is the six months ended 31 December 2010.</w:t>
      </w:r>
    </w:p>
    <w:p w14:paraId="28441A54" w14:textId="77777777" w:rsidR="00B55735" w:rsidRDefault="00D04975">
      <w:r>
        <w:t>S2’s surrenderable amount for the accounting period ended 30 June 2011 is £19,000.</w:t>
      </w:r>
    </w:p>
    <w:p w14:paraId="57B2CBBA" w14:textId="77777777" w:rsidR="00B55735" w:rsidRDefault="00D04975">
      <w:r>
        <w:t>S2 has made no prior surrenders so its ‘unused part of the surrenderable amounts’ is the same as its ‘surrender</w:t>
      </w:r>
      <w:r>
        <w:t>able amount for the overlapping period’ (CTM80230). It is:</w:t>
      </w:r>
    </w:p>
    <w:p w14:paraId="013E75CA" w14:textId="77777777" w:rsidR="00B55735" w:rsidRDefault="00D04975">
      <w:r>
        <w:t>CT1’s total profits for its accounting period to 31 December 2010 are £34,000 as above. CTA10/S144 (CTM80545), however, limits this to L’s share (‘ownership proportion’ CTA10/S145(3) - CTM80560) of</w:t>
      </w:r>
      <w:r>
        <w:t xml:space="preserve"> CT1’s profits for the accounting period.</w:t>
      </w:r>
    </w:p>
    <w:p w14:paraId="54398A58" w14:textId="77777777" w:rsidR="00B55735" w:rsidRDefault="00D04975">
      <w:r>
        <w:t>This is:</w:t>
      </w:r>
    </w:p>
    <w:p w14:paraId="3E7D2225" w14:textId="77777777" w:rsidR="00B55735" w:rsidRDefault="00D04975">
      <w:r>
        <w:t>So CT1’s ‘unrelieved part of the claimant company’s available total profits’ is the same as its ‘available total profits for the overlapping period’ as it has made no prior claims; it is:</w:t>
      </w:r>
    </w:p>
    <w:p w14:paraId="6193B204" w14:textId="77777777" w:rsidR="00B55735" w:rsidRDefault="00D04975">
      <w:r>
        <w:t>The amount that c</w:t>
      </w:r>
      <w:r>
        <w:t>an be surrendered/claimed is the smaller of £9,500 and £9,180: £9,180.</w:t>
      </w:r>
    </w:p>
    <w:p w14:paraId="7A2135B7" w14:textId="77777777" w:rsidR="00B55735" w:rsidRDefault="00D04975">
      <w:r>
        <w:t xml:space="preserve"> Previous page</w:t>
      </w:r>
    </w:p>
    <w:p w14:paraId="6716ADC1" w14:textId="77777777" w:rsidR="00B55735" w:rsidRDefault="00D04975">
      <w:r>
        <w:t xml:space="preserve"> Next page</w:t>
      </w:r>
    </w:p>
    <w:sectPr w:rsidR="00B55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404"/>
    <w:rsid w:val="00326F90"/>
    <w:rsid w:val="0036352F"/>
    <w:rsid w:val="00A34252"/>
    <w:rsid w:val="00AA1D8D"/>
    <w:rsid w:val="00B47730"/>
    <w:rsid w:val="00B55735"/>
    <w:rsid w:val="00CB0664"/>
    <w:rsid w:val="00D049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FF362E-C263-452F-9E76-9FC028B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04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AD4F27-EEA5-4735-B055-0F7889E4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2019-10-25T02:07:00Z</dcterms:modified>
  <cp:category/>
</cp:coreProperties>
</file>