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AE5B" w14:textId="77777777" w:rsidR="00570C5A" w:rsidRDefault="0003228F">
      <w:pPr>
        <w:pStyle w:val="Title"/>
      </w:pPr>
      <w:bookmarkStart w:id="0" w:name="_GoBack"/>
      <w:bookmarkEnd w:id="0"/>
      <w:r>
        <w:t>HMRC - CTM80696 - Example: Restriction Of Surrender Of Trade Losses Where Company Owned By Consortium Has Other Profits</w:t>
      </w:r>
    </w:p>
    <w:p w14:paraId="5E11D763" w14:textId="77777777" w:rsidR="00570C5A" w:rsidRDefault="0003228F">
      <w:r>
        <w:t xml:space="preserve">The percentages shown in the diagram indicate beneficial ownership of ordinary share capital and you should assume that the </w:t>
      </w:r>
      <w:r>
        <w:t>arrangements rules (CTA10/Ss146A, 146B, and 155) do not apply.</w:t>
      </w:r>
    </w:p>
    <w:p w14:paraId="6D80D464" w14:textId="77777777" w:rsidR="00570C5A" w:rsidRDefault="0003228F">
      <w:r>
        <w:t>The votes and entitlement to profits and assets on winding up follow the shareholdings shown (see CTA10/Ss151(4) for the 75% subsidiary (CTM80535), and Ss143(3) and 144(3) for the ownership pro</w:t>
      </w:r>
      <w:r>
        <w:t>portions of B and Y in O (CTM80540 and CTM80545)).</w:t>
      </w:r>
    </w:p>
    <w:p w14:paraId="026101F5" w14:textId="77777777" w:rsidR="00570C5A" w:rsidRDefault="0003228F">
      <w:r>
        <w:t>The facts</w:t>
      </w:r>
    </w:p>
    <w:p w14:paraId="5E94D0C5" w14:textId="77777777" w:rsidR="00570C5A" w:rsidRDefault="0003228F">
      <w:r>
        <w:t>M is a company owned by a consortium, and C (50%) and Z (50%) are members of a consortium.</w:t>
      </w:r>
    </w:p>
    <w:p w14:paraId="0E19FB53" w14:textId="77777777" w:rsidR="00570C5A" w:rsidRDefault="0003228F">
      <w:r>
        <w:t>All companies make up accounts for the year to 31 December 2011. In that period:</w:t>
      </w:r>
    </w:p>
    <w:p w14:paraId="15CB5CE5" w14:textId="77777777" w:rsidR="00570C5A" w:rsidRDefault="0003228F">
      <w:r>
        <w:t>M has incurred a tradin</w:t>
      </w:r>
      <w:r>
        <w:t>g loss of £10,000 and has chargeable gains of £5,000.</w:t>
      </w:r>
    </w:p>
    <w:p w14:paraId="35B78A72" w14:textId="77777777" w:rsidR="00570C5A" w:rsidRDefault="0003228F">
      <w:r>
        <w:t>C has substantial profits.</w:t>
      </w:r>
    </w:p>
    <w:p w14:paraId="5D46F54E" w14:textId="77777777" w:rsidR="00570C5A" w:rsidRDefault="0003228F">
      <w:r>
        <w:t>Z has a loss.</w:t>
      </w:r>
    </w:p>
    <w:p w14:paraId="063D8C87" w14:textId="77777777" w:rsidR="00570C5A" w:rsidRDefault="0003228F">
      <w:r>
        <w:t>Procedure</w:t>
      </w:r>
    </w:p>
    <w:p w14:paraId="0244CCB2" w14:textId="77777777" w:rsidR="00570C5A" w:rsidRDefault="0003228F">
      <w:r>
        <w:t>Were it not for CTA10/S147(3) (CTM80570), C could claim its half share (‘ownership proportion’ CTM80540) of M’s trading loss as consortium relief, leav</w:t>
      </w:r>
      <w:r>
        <w:t>ing the balance available for a claim under CTA10/S37 by M. So C would effectively obtain relief for the whole of M’s (net) losses rather than for its 50% share.</w:t>
      </w:r>
    </w:p>
    <w:p w14:paraId="246D7E3D" w14:textId="77777777" w:rsidR="00570C5A" w:rsidRDefault="0003228F">
      <w:r>
        <w:t>Under the rules in CTA10/S147 (3), for the purposes of C’s consortium claim, M’s losses are re</w:t>
      </w:r>
      <w:r>
        <w:t>stricted by any claim under CTA10/S37 that could be made to set them off against total profits.</w:t>
      </w:r>
    </w:p>
    <w:p w14:paraId="1790BF22" w14:textId="77777777" w:rsidR="00570C5A" w:rsidRDefault="0003228F">
      <w:r>
        <w:t>C’s consortium claim is thus limited to 50% x (£10,000 - £5,000) = £2,500.</w:t>
      </w:r>
    </w:p>
    <w:p w14:paraId="27014515" w14:textId="77777777" w:rsidR="00570C5A" w:rsidRDefault="0003228F">
      <w:r>
        <w:t xml:space="preserve"> Previous page</w:t>
      </w:r>
    </w:p>
    <w:sectPr w:rsidR="00570C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28F"/>
    <w:rsid w:val="00034616"/>
    <w:rsid w:val="0006063C"/>
    <w:rsid w:val="00145AE6"/>
    <w:rsid w:val="0015074B"/>
    <w:rsid w:val="0029639D"/>
    <w:rsid w:val="00326F90"/>
    <w:rsid w:val="00570C5A"/>
    <w:rsid w:val="006D15D2"/>
    <w:rsid w:val="00944B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847AE7-9EDF-49CF-AA09-7A6B2FE5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32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C239F9-2FCF-44B5-88BB-F2C39268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2019-10-25T01:02:00Z</dcterms:modified>
  <cp:category/>
</cp:coreProperties>
</file>