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15E79" w14:textId="77777777" w:rsidR="00B210FE" w:rsidRDefault="0035647E">
      <w:pPr>
        <w:pStyle w:val="Title"/>
      </w:pPr>
      <w:bookmarkStart w:id="0" w:name="_GoBack"/>
      <w:bookmarkEnd w:id="0"/>
      <w:r>
        <w:t>HMRC - CTM81570 - Groups: Group Relief: Surrendering Company Not UK Resident: Amount Of The Loss: UK Recomputation: Accounting Periods</w:t>
      </w:r>
    </w:p>
    <w:p w14:paraId="6AE215BB" w14:textId="77777777" w:rsidR="00B210FE" w:rsidRDefault="0035647E">
      <w:r>
        <w:t>ICTA88/SCH18A (14)</w:t>
      </w:r>
    </w:p>
    <w:p w14:paraId="7E689599" w14:textId="77777777" w:rsidR="00B210FE" w:rsidRDefault="0035647E">
      <w:r>
        <w:t xml:space="preserve">In order to quantify the loss eligible for relief, the foreign loss is to be recomputed in </w:t>
      </w:r>
      <w:r>
        <w:t>accordance with UK principles, (CTM81560).</w:t>
      </w:r>
    </w:p>
    <w:p w14:paraId="0D4019BA" w14:textId="77777777" w:rsidR="00B210FE" w:rsidRDefault="0035647E">
      <w:r>
        <w:t>To enable the recomputation to be carried out, the extended rules require assumptions tobe made about the surrendering company. One of those assumptions relates to the accounting period.</w:t>
      </w:r>
    </w:p>
    <w:p w14:paraId="6F27B3E2" w14:textId="77777777" w:rsidR="00B210FE" w:rsidRDefault="0035647E">
      <w:r>
        <w:t>It is assumed that an acco</w:t>
      </w:r>
      <w:r>
        <w:t>unting period for UK CT purposes begins at the start of the loss period.</w:t>
      </w:r>
    </w:p>
    <w:p w14:paraId="612CD199" w14:textId="77777777" w:rsidR="00B210FE" w:rsidRDefault="0035647E">
      <w:r>
        <w:t>In the following paragraphs a reference to a ‘loss period’ is to be read as a reference to the period defined by the rules of the relevant European Economic Area (EEA) territory for w</w:t>
      </w:r>
      <w:r>
        <w:t>hich the EEA tax loss is computed. This could be an accounting period, a tax return period or some other period where these are coincident.</w:t>
      </w:r>
    </w:p>
    <w:p w14:paraId="0F71B506" w14:textId="77777777" w:rsidR="00B210FE" w:rsidRDefault="0035647E">
      <w:r>
        <w:t>The deemed accounting period for the purposes of the recomputation ends on the earlier of:</w:t>
      </w:r>
    </w:p>
    <w:p w14:paraId="183A63E0" w14:textId="77777777" w:rsidR="00B210FE" w:rsidRDefault="0035647E">
      <w:r>
        <w:t>12 months from the beginn</w:t>
      </w:r>
      <w:r>
        <w:t>ing of the loss period, or</w:t>
      </w:r>
    </w:p>
    <w:p w14:paraId="131640CD" w14:textId="77777777" w:rsidR="00B210FE" w:rsidRDefault="0035647E">
      <w:r>
        <w:t>the end of the loss period.</w:t>
      </w:r>
    </w:p>
    <w:p w14:paraId="57C0A355" w14:textId="77777777" w:rsidR="00B210FE" w:rsidRDefault="0035647E">
      <w:r>
        <w:t>Where the deemed accounting period ends on the former of the above dates it is assumed that a further accounting period begins when the previous deemed accounting period ends.</w:t>
      </w:r>
    </w:p>
    <w:p w14:paraId="1446C9D3" w14:textId="77777777" w:rsidR="00B210FE" w:rsidRDefault="0035647E">
      <w:r>
        <w:t>That further deemed accou</w:t>
      </w:r>
      <w:r>
        <w:t>nting period ends on the earlier of:</w:t>
      </w:r>
    </w:p>
    <w:p w14:paraId="7AB9643D" w14:textId="77777777" w:rsidR="00B210FE" w:rsidRDefault="0035647E">
      <w:r>
        <w:t>12 months from the beginning of the further deemed accounting period, or</w:t>
      </w:r>
    </w:p>
    <w:p w14:paraId="35476807" w14:textId="77777777" w:rsidR="00B210FE" w:rsidRDefault="0035647E">
      <w:r>
        <w:t>the end of the loss period.</w:t>
      </w:r>
    </w:p>
    <w:p w14:paraId="0F6EB5BA" w14:textId="77777777" w:rsidR="00B210FE" w:rsidRDefault="0035647E">
      <w:r>
        <w:t xml:space="preserve">Where the deemed accounting period/periods of the surrendering company does/do notcoincide with those of the claimant </w:t>
      </w:r>
      <w:r>
        <w:t>company, the normal apportionment rules atICTA88/S403A – S403B apply as they would to UK only groups, (CTM80215).</w:t>
      </w:r>
    </w:p>
    <w:p w14:paraId="253E6A9A" w14:textId="77777777" w:rsidR="00B210FE" w:rsidRDefault="0035647E">
      <w:r>
        <w:t xml:space="preserve"> Previous page</w:t>
      </w:r>
    </w:p>
    <w:p w14:paraId="668C5B1A" w14:textId="77777777" w:rsidR="00B210FE" w:rsidRDefault="0035647E">
      <w:r>
        <w:lastRenderedPageBreak/>
        <w:t xml:space="preserve"> Next page</w:t>
      </w:r>
    </w:p>
    <w:sectPr w:rsidR="00B210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A9E"/>
    <w:rsid w:val="0015074B"/>
    <w:rsid w:val="0029639D"/>
    <w:rsid w:val="00326F90"/>
    <w:rsid w:val="0035647E"/>
    <w:rsid w:val="00AA1D8D"/>
    <w:rsid w:val="00B210FE"/>
    <w:rsid w:val="00B47730"/>
    <w:rsid w:val="00BF1524"/>
    <w:rsid w:val="00CB0664"/>
    <w:rsid w:val="00DA62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08A03C6-EF23-4FFD-8B37-958FEA01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564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75AFA5-C81F-4FF5-8B23-BC62CC0F6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2019-10-25T00:26:00Z</dcterms:modified>
  <cp:category/>
</cp:coreProperties>
</file>