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F4B7A" w14:textId="77777777" w:rsidR="009D5D82" w:rsidRDefault="00807500">
      <w:pPr>
        <w:pStyle w:val="Title"/>
      </w:pPr>
      <w:bookmarkStart w:id="0" w:name="_GoBack"/>
      <w:bookmarkEnd w:id="0"/>
      <w:r>
        <w:t>HMRC - DT2854 - Azerbaijan: Interest</w:t>
      </w:r>
    </w:p>
    <w:p w14:paraId="6222F10C" w14:textId="77777777" w:rsidR="00254DCC" w:rsidRDefault="00807500">
      <w:pPr>
        <w:rPr>
          <w:del w:id="1" w:author="Comparison" w:date="2019-10-30T18:02:00Z"/>
        </w:rPr>
      </w:pPr>
      <w:del w:id="2" w:author="Comparison" w:date="2019-10-30T18:02:00Z">
        <w:r>
          <w:delText xml:space="preserve">Interest arising in Azerbaijan and paid to a resident of the UK who is the beneficial owner of the interest and is subject to tax on the interest in the UK is taxable in Azerbaijan at a rate not exceeding 10 per </w:delText>
        </w:r>
        <w:r>
          <w:delText>cent (Article 11(2)), except where the interest is effectively connected with a permanent establishment or fixed base which the UK resident recipient has in Azerbaijan. In the latter circumstances, the provisions of the Business Profits Article (Article 7)</w:delText>
        </w:r>
        <w:r>
          <w:delText xml:space="preserve"> or the Independent Personal Services Article (Article 14) will apply.</w:delText>
        </w:r>
      </w:del>
    </w:p>
    <w:p w14:paraId="71863A8A" w14:textId="77777777" w:rsidR="00254DCC" w:rsidRDefault="00807500">
      <w:pPr>
        <w:rPr>
          <w:del w:id="3" w:author="Comparison" w:date="2019-10-30T18:02:00Z"/>
        </w:rPr>
      </w:pPr>
      <w:del w:id="4" w:author="Comparison" w:date="2019-10-30T18:02:00Z">
        <w:r>
          <w:delText>Notwithstanding the provisions of Article 11(2), interest arising in Azerbaijan shall be exempt from Azerbaijan tax if it is derived and beneficially owned by the UK Government or any a</w:delText>
        </w:r>
        <w:r>
          <w:delText>gency or instrumentality thereof.</w:delText>
        </w:r>
      </w:del>
    </w:p>
    <w:p w14:paraId="0E7F6116" w14:textId="77777777" w:rsidR="009D5D82" w:rsidRDefault="00807500">
      <w:pPr>
        <w:rPr>
          <w:ins w:id="5" w:author="Comparison" w:date="2019-10-30T18:02:00Z"/>
        </w:rPr>
      </w:pPr>
      <w:ins w:id="6" w:author="Comparison" w:date="2019-10-30T18:02:00Z">
        <w:r>
          <w:t>Page archived - updated to new DTRM format.</w:t>
        </w:r>
      </w:ins>
    </w:p>
    <w:p w14:paraId="47BC53B2" w14:textId="77777777" w:rsidR="009D5D82" w:rsidRDefault="00807500">
      <w:r>
        <w:t xml:space="preserve"> Previous page</w:t>
      </w:r>
    </w:p>
    <w:p w14:paraId="1EE3B12D" w14:textId="77777777" w:rsidR="009D5D82" w:rsidRDefault="00807500">
      <w:r>
        <w:t xml:space="preserve"> Next page</w:t>
      </w:r>
    </w:p>
    <w:sectPr w:rsidR="009D5D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DCC"/>
    <w:rsid w:val="0029639D"/>
    <w:rsid w:val="00326F90"/>
    <w:rsid w:val="00807500"/>
    <w:rsid w:val="009D5D82"/>
    <w:rsid w:val="00AA1D8D"/>
    <w:rsid w:val="00B47730"/>
    <w:rsid w:val="00BB689D"/>
    <w:rsid w:val="00CB0664"/>
    <w:rsid w:val="00E71C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D7EE318-F6CC-4955-B10A-57E399FC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075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5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93FAFB-226E-44BF-B13E-54D1B9513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2019-10-30T18:02:00Z</dcterms:modified>
  <cp:category/>
</cp:coreProperties>
</file>